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KHALID KANOUF</w:t>
      </w:r>
    </w:p>
    <w:p>
      <w:pPr>
        <w:pStyle w:val="Title"/>
      </w:pPr>
      <w:r>
        <w:t>Checklist pour auditer un pilote IA</w:t>
      </w:r>
    </w:p>
    <w:p>
      <w:pPr>
        <w:pStyle w:val="Subtitle"/>
      </w:pPr>
      <w:r>
        <w:t>Version 1.1 · Septembre 2026 · Document de travail modifiable</w:t>
      </w:r>
    </w:p>
    <w:p>
      <w:r>
        <w:t>15 contrôles pour préparer un pilote IA et repérer ce qui doit être clarifié avant sa mise en œuvre. Chaque point associe une vérification, une preuve attendue et un signal qui appelle une action.</w:t>
      </w:r>
    </w:p>
    <w:p>
      <w:hyperlink r:id="rId10">
        <w:r>
          <w:rPr>
            <w:color w:val="9D1E35"/>
          </w:rPr>
          <w:t>Consulter la ressource et ses mises à jour</w:t>
        </w:r>
      </w:hyperlink>
    </w:p>
    <w:p>
      <w:pPr>
        <w:pStyle w:val="Heading1"/>
      </w:pPr>
      <w:r>
        <w:t>Utiliser la checklist en réunion de cadrage</w:t>
      </w:r>
    </w:p>
    <w:p>
      <w:pPr/>
      <w:r>
        <w:rPr>
          <w:b w:val="0"/>
        </w:rPr>
        <w:t xml:space="preserve">Choisir un processus précis, une équipe et un outil. Pour chaque contrôle, noter </w:t>
      </w:r>
      <w:r>
        <w:rPr>
          <w:b/>
        </w:rPr>
        <w:t>Vérifié, À compléter, Bloquant ou Sans objet</w:t>
      </w:r>
      <w:r>
        <w:rPr>
          <w:b w:val="0"/>
        </w:rPr>
        <w:t>, puis joindre un fait observable. « Sans objet » doit être justifié. Un manque d’information se note « À compléter ».</w:t>
      </w:r>
    </w:p>
    <w:p>
      <w:pPr/>
      <w:r>
        <w:rPr>
          <w:b w:val="0"/>
        </w:rPr>
        <w:t>Prévoir un premier échange de 30 minutes, puis réunir les preuves manquantes. Les fiches de relevé en fin de document permettent de consigner les preuves et les actions pour chaque contrôle.</w:t>
      </w:r>
    </w:p>
    <w:p>
      <w:pPr>
        <w:pStyle w:val="Heading1"/>
      </w:pPr>
      <w:r>
        <w:t>1 Usages et périmètre</w:t>
      </w:r>
    </w:p>
    <w:p>
      <w:pPr>
        <w:pStyle w:val="ListBullet"/>
      </w:pPr>
      <w:r>
        <w:rPr>
          <w:b/>
        </w:rPr>
        <w:t>Contrôle 1 : Le processus et le résultat attendu sont nommés.</w:t>
      </w:r>
      <w:r>
        <w:br/>
      </w:r>
      <w:r>
        <w:rPr>
          <w:b w:val="0"/>
        </w:rPr>
        <w:t>Preuve attendue : Un brief d’une page.</w:t>
      </w:r>
      <w:r>
        <w:br/>
      </w:r>
      <w:r>
        <w:rPr>
          <w:b w:val="0"/>
        </w:rPr>
        <w:t>À traiter si : Le pilote n’a pas de finalité définie.</w:t>
      </w:r>
    </w:p>
    <w:p>
      <w:pPr>
        <w:pStyle w:val="ListBullet"/>
      </w:pPr>
      <w:r>
        <w:rPr>
          <w:b/>
        </w:rPr>
        <w:t>Contrôle 2 : Les personnes, les outils et les accès utilisés sont recensés.</w:t>
      </w:r>
      <w:r>
        <w:br/>
      </w:r>
      <w:r>
        <w:rPr>
          <w:b w:val="0"/>
        </w:rPr>
        <w:t>Preuve attendue : Un inventaire validé par l’équipe.</w:t>
      </w:r>
      <w:r>
        <w:br/>
      </w:r>
      <w:r>
        <w:rPr>
          <w:b w:val="0"/>
        </w:rPr>
        <w:t>À traiter si : Des usages restent inconnus.</w:t>
      </w:r>
    </w:p>
    <w:p>
      <w:pPr>
        <w:pStyle w:val="ListBullet"/>
      </w:pPr>
      <w:r>
        <w:rPr>
          <w:b/>
        </w:rPr>
        <w:t>Contrôle 3 : Une production de référence permet la comparaison.</w:t>
      </w:r>
      <w:r>
        <w:br/>
      </w:r>
      <w:r>
        <w:rPr>
          <w:b w:val="0"/>
        </w:rPr>
        <w:t>Preuve attendue : Un exemple antérieur et ses critères de qualité.</w:t>
      </w:r>
      <w:r>
        <w:br/>
      </w:r>
      <w:r>
        <w:rPr>
          <w:b w:val="0"/>
        </w:rPr>
        <w:t>À traiter si : Aucune comparaison n’est possible.</w:t>
      </w:r>
    </w:p>
    <w:p>
      <w:pPr>
        <w:pStyle w:val="Heading1"/>
      </w:pPr>
      <w:r>
        <w:t>2 Données et accès</w:t>
      </w:r>
    </w:p>
    <w:p>
      <w:pPr>
        <w:pStyle w:val="ListBullet"/>
      </w:pPr>
      <w:r>
        <w:rPr>
          <w:b/>
        </w:rPr>
        <w:t>Contrôle 4 : Les données nécessaires sont identifiées et leur utilisation est autorisée dans l’environnement retenu.</w:t>
      </w:r>
      <w:r>
        <w:br/>
      </w:r>
      <w:r>
        <w:rPr>
          <w:b w:val="0"/>
        </w:rPr>
        <w:t>Preuve attendue : Une liste de données et des conditions d’usage vérifiées.</w:t>
      </w:r>
      <w:r>
        <w:br/>
      </w:r>
      <w:r>
        <w:rPr>
          <w:b w:val="0"/>
        </w:rPr>
        <w:t>À traiter si : Le statut d’une donnée est incertain.</w:t>
      </w:r>
    </w:p>
    <w:p>
      <w:pPr>
        <w:pStyle w:val="ListBullet"/>
      </w:pPr>
      <w:r>
        <w:rPr>
          <w:b/>
        </w:rPr>
        <w:t>Contrôle 5 : Les paramètres de conservation et de réutilisation des données ont été examinés.</w:t>
      </w:r>
      <w:r>
        <w:br/>
      </w:r>
      <w:r>
        <w:rPr>
          <w:b w:val="0"/>
        </w:rPr>
        <w:t>Preuve attendue : Les paramètres et conditions du service datés.</w:t>
      </w:r>
      <w:r>
        <w:br/>
      </w:r>
      <w:r>
        <w:rPr>
          <w:b w:val="0"/>
        </w:rPr>
        <w:t>À traiter si : Le devenir des données n’est pas établi.</w:t>
      </w:r>
    </w:p>
    <w:p>
      <w:pPr>
        <w:pStyle w:val="ListBullet"/>
      </w:pPr>
      <w:r>
        <w:rPr>
          <w:b/>
        </w:rPr>
        <w:t>Contrôle 6 : Les accès, connecteurs et droits d’action sont limités au besoin du pilote.</w:t>
      </w:r>
      <w:r>
        <w:br/>
      </w:r>
      <w:r>
        <w:rPr>
          <w:b w:val="0"/>
        </w:rPr>
        <w:t>Preuve attendue : Une liste des permissions et du responsable.</w:t>
      </w:r>
      <w:r>
        <w:br/>
      </w:r>
      <w:r>
        <w:rPr>
          <w:b w:val="0"/>
        </w:rPr>
        <w:t>À traiter si : L’outil peut agir au-delà du périmètre.</w:t>
      </w:r>
    </w:p>
    <w:p>
      <w:pPr>
        <w:pStyle w:val="Heading1"/>
      </w:pPr>
      <w:r>
        <w:t>3 Qualité et décision humaine</w:t>
      </w:r>
    </w:p>
    <w:p>
      <w:pPr>
        <w:pStyle w:val="ListBullet"/>
      </w:pPr>
      <w:r>
        <w:rPr>
          <w:b/>
        </w:rPr>
        <w:t>Contrôle 7 : Les faits, sources et calculs font l’objet d’une vérification adaptée.</w:t>
      </w:r>
      <w:r>
        <w:br/>
      </w:r>
      <w:r>
        <w:rPr>
          <w:b w:val="0"/>
        </w:rPr>
        <w:t>Preuve attendue : Une procédure et un exemple de contrôle.</w:t>
      </w:r>
      <w:r>
        <w:br/>
      </w:r>
      <w:r>
        <w:rPr>
          <w:b w:val="0"/>
        </w:rPr>
        <w:t>À traiter si : La fluidité tient lieu de preuve.</w:t>
      </w:r>
    </w:p>
    <w:p>
      <w:pPr>
        <w:pStyle w:val="ListBullet"/>
      </w:pPr>
      <w:r>
        <w:rPr>
          <w:b/>
        </w:rPr>
        <w:t>Contrôle 8 : Le valideur et les cas nécessitant une expertise sont identifiés.</w:t>
      </w:r>
      <w:r>
        <w:br/>
      </w:r>
      <w:r>
        <w:rPr>
          <w:b w:val="0"/>
        </w:rPr>
        <w:t>Preuve attendue : Un circuit de validation.</w:t>
      </w:r>
      <w:r>
        <w:br/>
      </w:r>
      <w:r>
        <w:rPr>
          <w:b w:val="0"/>
        </w:rPr>
        <w:t>À traiter si : Personne ne porte la décision finale.</w:t>
      </w:r>
    </w:p>
    <w:p>
      <w:pPr>
        <w:pStyle w:val="ListBullet"/>
      </w:pPr>
      <w:r>
        <w:rPr>
          <w:b/>
        </w:rPr>
        <w:t>Contrôle 9 : La création ou la pédagogie conserve une intention et des critères explicites.</w:t>
      </w:r>
      <w:r>
        <w:br/>
      </w:r>
      <w:r>
        <w:rPr>
          <w:b w:val="0"/>
        </w:rPr>
        <w:t>Preuve attendue : Un brief créatif ou des objectifs pédagogiques.</w:t>
      </w:r>
      <w:r>
        <w:br/>
      </w:r>
      <w:r>
        <w:rPr>
          <w:b w:val="0"/>
        </w:rPr>
        <w:t>À traiter si : La production paraît correcte mais interchangeable.</w:t>
      </w:r>
    </w:p>
    <w:p>
      <w:pPr>
        <w:pStyle w:val="Heading1"/>
      </w:pPr>
      <w:r>
        <w:t>4 Compétences et mise en œuvre</w:t>
      </w:r>
    </w:p>
    <w:p>
      <w:pPr>
        <w:pStyle w:val="ListBullet"/>
      </w:pPr>
      <w:r>
        <w:rPr>
          <w:b/>
        </w:rPr>
        <w:t>Contrôle 10 : Les utilisateurs savent réaliser puis corriger un cas représentatif.</w:t>
      </w:r>
      <w:r>
        <w:br/>
      </w:r>
      <w:r>
        <w:rPr>
          <w:b w:val="0"/>
        </w:rPr>
        <w:t>Preuve attendue : Un exercice observé.</w:t>
      </w:r>
      <w:r>
        <w:br/>
      </w:r>
      <w:r>
        <w:rPr>
          <w:b w:val="0"/>
        </w:rPr>
        <w:t>À traiter si : La formation se limite à une démonstration.</w:t>
      </w:r>
    </w:p>
    <w:p>
      <w:pPr>
        <w:pStyle w:val="ListBullet"/>
      </w:pPr>
      <w:r>
        <w:rPr>
          <w:b/>
        </w:rPr>
        <w:t>Contrôle 11 : Une méthode et un interlocuteur sont accessibles.</w:t>
      </w:r>
      <w:r>
        <w:br/>
      </w:r>
      <w:r>
        <w:rPr>
          <w:b w:val="0"/>
        </w:rPr>
        <w:t>Preuve attendue : Une fiche pratique et un référent.</w:t>
      </w:r>
      <w:r>
        <w:br/>
      </w:r>
      <w:r>
        <w:rPr>
          <w:b w:val="0"/>
        </w:rPr>
        <w:t>À traiter si : L’usage dépend d’une seule personne.</w:t>
      </w:r>
    </w:p>
    <w:p>
      <w:pPr>
        <w:pStyle w:val="ListBullet"/>
      </w:pPr>
      <w:r>
        <w:rPr>
          <w:b/>
        </w:rPr>
        <w:t>Contrôle 12 : Les erreurs ou incidents peuvent être signalés et l’usage interrompu.</w:t>
      </w:r>
      <w:r>
        <w:br/>
      </w:r>
      <w:r>
        <w:rPr>
          <w:b w:val="0"/>
        </w:rPr>
        <w:t>Preuve attendue : Une procédure courte.</w:t>
      </w:r>
      <w:r>
        <w:br/>
      </w:r>
      <w:r>
        <w:rPr>
          <w:b w:val="0"/>
        </w:rPr>
        <w:t>À traiter si : L’équipe ne sait pas à qui s’adresser.</w:t>
      </w:r>
    </w:p>
    <w:p>
      <w:pPr>
        <w:pStyle w:val="Heading1"/>
      </w:pPr>
      <w:r>
        <w:t>5 Résultats et suite</w:t>
      </w:r>
    </w:p>
    <w:p>
      <w:pPr>
        <w:pStyle w:val="ListBullet"/>
      </w:pPr>
      <w:r>
        <w:rPr>
          <w:b/>
        </w:rPr>
        <w:t>Contrôle 13 : Le temps de contrôle et de correction est inclus dans l’évaluation.</w:t>
      </w:r>
      <w:r>
        <w:br/>
      </w:r>
      <w:r>
        <w:rPr>
          <w:b w:val="0"/>
        </w:rPr>
        <w:t>Preuve attendue : Un relevé du temps total.</w:t>
      </w:r>
      <w:r>
        <w:br/>
      </w:r>
      <w:r>
        <w:rPr>
          <w:b w:val="0"/>
        </w:rPr>
        <w:t>À traiter si : Seule la génération est chronométrée.</w:t>
      </w:r>
    </w:p>
    <w:p>
      <w:pPr>
        <w:pStyle w:val="ListBullet"/>
      </w:pPr>
      <w:r>
        <w:rPr>
          <w:b/>
        </w:rPr>
        <w:t>Contrôle 14 : La qualité est comparée selon les mêmes critères avant et après.</w:t>
      </w:r>
      <w:r>
        <w:br/>
      </w:r>
      <w:r>
        <w:rPr>
          <w:b w:val="0"/>
        </w:rPr>
        <w:t>Preuve attendue : Une comparaison commentée.</w:t>
      </w:r>
      <w:r>
        <w:br/>
      </w:r>
      <w:r>
        <w:rPr>
          <w:b w:val="0"/>
        </w:rPr>
        <w:t>À traiter si : Les résultats ne sont pas comparables.</w:t>
      </w:r>
    </w:p>
    <w:p>
      <w:pPr>
        <w:pStyle w:val="ListBullet"/>
      </w:pPr>
      <w:r>
        <w:rPr>
          <w:b/>
        </w:rPr>
        <w:t>Contrôle 15 : La date de revue et les conditions de poursuite sont fixées.</w:t>
      </w:r>
      <w:r>
        <w:br/>
      </w:r>
      <w:r>
        <w:rPr>
          <w:b w:val="0"/>
        </w:rPr>
        <w:t>Preuve attendue : Une décision attendue et son responsable.</w:t>
      </w:r>
      <w:r>
        <w:br/>
      </w:r>
      <w:r>
        <w:rPr>
          <w:b w:val="0"/>
        </w:rPr>
        <w:t>À traiter si : Le pilote se prolonge sans arbitrage.</w:t>
      </w:r>
    </w:p>
    <w:p>
      <w:pPr>
        <w:pStyle w:val="Heading1"/>
      </w:pPr>
      <w:r>
        <w:t>Décider de la suite</w:t>
      </w:r>
    </w:p>
    <w:p>
      <w:pPr/>
      <w:r>
        <w:rPr>
          <w:b/>
        </w:rPr>
        <w:t>Un point bloquant sur les données, les accès, la validation ou les effets sur des personnes suspend l’usage concerné jusqu’à examen.</w:t>
      </w:r>
      <w:r>
        <w:rPr>
          <w:b w:val="0"/>
        </w:rPr>
        <w:t xml:space="preserve"> Les autres écarts alimentent un plan d’action : quoi corriger, par qui, avant quelle date et avec quelle preuve de résolution. Une checklist entièrement renseignée n’établit pas à elle seule la conformité d’un système.</w:t>
      </w:r>
    </w:p>
    <w:p>
      <w:pPr/>
      <w:r>
        <w:rPr>
          <w:b w:val="0"/>
        </w:rPr>
        <w:t>Conserver une ligne de décision : « Pilote retenu : […] ; conditions préalables : […] ; responsable : […] ; date de revue : […] ». La fiche de décision figure en fin de document.</w:t>
      </w:r>
    </w:p>
    <w:p>
      <w:pPr>
        <w:pStyle w:val="Heading1"/>
      </w:pPr>
      <w:r>
        <w:t>Exemple fictif préparer un support pédagogique</w:t>
      </w:r>
    </w:p>
    <w:p>
      <w:pPr/>
      <w:r>
        <w:rPr>
          <w:b w:val="0"/>
        </w:rPr>
        <w:t>Une équipe souhaite produire des exercices. Le périmètre et le formateur valideur sont définis, mais les supports sources contiennent des éléments sur des étudiants. Le contrôle des données reste à compléter. La première action consiste à constituer un corpus autorisé, puis à faire vérifier les exercices, les corrections et leur adéquation aux objectifs. Le pilote ne doit pas commencer par l’envoi de documents dont le statut reste incertain.</w:t>
      </w:r>
    </w:p>
    <w:p>
      <w:pPr>
        <w:pStyle w:val="Heading1"/>
      </w:pPr>
      <w:r>
        <w:t>Relier les trois outils</w:t>
      </w:r>
    </w:p>
    <w:p>
      <w:pPr/>
      <w:r>
        <w:rPr>
          <w:b w:val="0"/>
        </w:rPr>
        <w:t xml:space="preserve">La </w:t>
      </w:r>
      <w:hyperlink r:id="rId11">
        <w:r>
          <w:rPr>
            <w:color w:val="9D1E35"/>
          </w:rPr>
          <w:t>grille de maturité</w:t>
        </w:r>
      </w:hyperlink>
      <w:r>
        <w:rPr>
          <w:b w:val="0"/>
        </w:rPr>
        <w:t xml:space="preserve"> examine les pratiques collectives. Cette checklist vérifie les conditions d’un pilote. La </w:t>
      </w:r>
      <w:hyperlink r:id="rId12">
        <w:r>
          <w:rPr>
            <w:color w:val="9D1E35"/>
          </w:rPr>
          <w:t>matrice risques et usages</w:t>
        </w:r>
      </w:hyperlink>
      <w:r>
        <w:rPr>
          <w:b w:val="0"/>
        </w:rPr>
        <w:t xml:space="preserve"> aide à choisir son niveau d’encadrement.</w:t>
      </w:r>
    </w:p>
    <w:p>
      <w:pPr>
        <w:pStyle w:val="Heading1"/>
      </w:pPr>
      <w:r>
        <w:t>Version et portée</w:t>
      </w:r>
    </w:p>
    <w:p>
      <w:pPr/>
      <w:r>
        <w:rPr>
          <w:b w:val="0"/>
        </w:rPr>
        <w:t>Khalid Kanouf · Version 1.1 · 7 septembre 2026. Support de cadrage opérationnel à adapter au contexte ; il ne remplace pas les évaluations techniques, juridiques ou sectorielles nécessaires.</w:t>
      </w:r>
    </w:p>
    <w:p>
      <w:pPr/>
      <w:r>
        <w:rPr>
          <w:b w:val="0"/>
        </w:rPr>
        <w:t xml:space="preserve">La CNIL recommande de définir les usages, de former les utilisateurs et d’associer les responsables concernés au déploiement. </w:t>
      </w:r>
      <w:hyperlink r:id="rId13">
        <w:r>
          <w:rPr>
            <w:color w:val="9D1E35"/>
          </w:rPr>
          <w:t>Consulter ses recommandations sur le déploiement d’une IA générative</w:t>
        </w:r>
      </w:hyperlink>
      <w:r>
        <w:rPr>
          <w:b w:val="0"/>
        </w:rPr>
        <w:t>.</w:t>
      </w:r>
    </w:p>
    <w:p>
      <w:pPr>
        <w:pStyle w:val="Heading1"/>
      </w:pPr>
      <w:r>
        <w:t>Décision sur le pilote</w:t>
      </w:r>
    </w:p>
    <w:p>
      <w:pPr>
        <w:spacing w:after="220"/>
      </w:pPr>
      <w:r>
        <w:rPr>
          <w:b/>
        </w:rPr>
        <w:t xml:space="preserve">Pilote retenu : </w:t>
      </w:r>
      <w:r>
        <w:t>[à compléter]</w:t>
      </w:r>
    </w:p>
    <w:p>
      <w:pPr>
        <w:spacing w:after="220"/>
      </w:pPr>
      <w:r>
        <w:rPr>
          <w:b/>
        </w:rPr>
        <w:t xml:space="preserve">Conditions préalables : </w:t>
      </w:r>
      <w:r>
        <w:t>[à compléter]</w:t>
      </w:r>
    </w:p>
    <w:p>
      <w:pPr>
        <w:spacing w:after="220"/>
      </w:pPr>
      <w:r>
        <w:rPr>
          <w:b/>
        </w:rPr>
        <w:t xml:space="preserve">Écarts restant à traiter : </w:t>
      </w:r>
      <w:r>
        <w:t>[à compléter]</w:t>
      </w:r>
    </w:p>
    <w:p>
      <w:pPr>
        <w:spacing w:after="220"/>
      </w:pPr>
      <w:r>
        <w:rPr>
          <w:b/>
        </w:rPr>
        <w:t xml:space="preserve">Responsable de décision : </w:t>
      </w:r>
      <w:r>
        <w:t>[à compléter]</w:t>
      </w:r>
    </w:p>
    <w:p>
      <w:pPr>
        <w:spacing w:after="220"/>
      </w:pPr>
      <w:r>
        <w:rPr>
          <w:b/>
        </w:rPr>
        <w:t xml:space="preserve">Date de revue : </w:t>
      </w:r>
      <w:r>
        <w:t>[à compléter]</w:t>
      </w:r>
    </w:p>
    <w:p>
      <w:pPr>
        <w:spacing w:after="220"/>
      </w:pPr>
      <w:r>
        <w:rPr>
          <w:b/>
        </w:rPr>
        <w:t xml:space="preserve">Preuve attendue pour réexaminer la décision : </w:t>
      </w:r>
      <w:r>
        <w:t>[à compléter]</w:t>
      </w:r>
    </w:p>
    <w:p>
      <w:r>
        <w:br w:type="page"/>
      </w:r>
    </w:p>
    <w:p>
      <w:pPr>
        <w:pStyle w:val="Heading1"/>
      </w:pPr>
      <w:r>
        <w:t>Relevé des contrôles 1 à 5</w:t>
      </w:r>
    </w:p>
    <w:p>
      <w:r>
        <w:t>Statuts : Vérifié · À compléter · Bloquant · Sans objet. Justifier chaque statut par une preuve ou une observation.</w:t>
      </w:r>
    </w:p>
    <w:p>
      <w:pPr>
        <w:spacing w:after="220"/>
      </w:pPr>
      <w:r>
        <w:rPr>
          <w:b/>
        </w:rPr>
        <w:t xml:space="preserve">Périmètre et outil : </w:t>
      </w:r>
      <w:r>
        <w:t>[à compléter]</w:t>
      </w:r>
    </w:p>
    <w:p>
      <w:pPr>
        <w:spacing w:after="220"/>
      </w:pPr>
      <w:r>
        <w:rPr>
          <w:b/>
        </w:rPr>
        <w:t xml:space="preserve">Responsable et date : </w:t>
      </w:r>
      <w:r>
        <w:t>[à compléter]</w:t>
      </w:r>
    </w:p>
    <w:p>
      <w:pPr>
        <w:pStyle w:val="Heading2"/>
      </w:pPr>
      <w:r>
        <w:t>Contrôle 1</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2</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3</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4</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5</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r>
        <w:br w:type="page"/>
      </w:r>
    </w:p>
    <w:p>
      <w:pPr>
        <w:pStyle w:val="Heading1"/>
      </w:pPr>
      <w:r>
        <w:t>Relevé des contrôles 6 à 10</w:t>
      </w:r>
    </w:p>
    <w:p>
      <w:r>
        <w:t>Statuts : Vérifié · À compléter · Bloquant · Sans objet. Justifier chaque statut par une preuve ou une observation.</w:t>
      </w:r>
    </w:p>
    <w:p>
      <w:pPr>
        <w:pStyle w:val="Heading2"/>
      </w:pPr>
      <w:r>
        <w:t>Contrôle 6</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7</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8</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9</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10</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r>
        <w:br w:type="page"/>
      </w:r>
    </w:p>
    <w:p>
      <w:pPr>
        <w:pStyle w:val="Heading1"/>
      </w:pPr>
      <w:r>
        <w:t>Relevé des contrôles 11 à 15</w:t>
      </w:r>
    </w:p>
    <w:p>
      <w:r>
        <w:t>Statuts : Vérifié · À compléter · Bloquant · Sans objet. Justifier chaque statut par une preuve ou une observation.</w:t>
      </w:r>
    </w:p>
    <w:p>
      <w:pPr>
        <w:pStyle w:val="Heading2"/>
      </w:pPr>
      <w:r>
        <w:t>Contrôle 11</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12</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13</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14</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p>
      <w:pPr>
        <w:pStyle w:val="Heading2"/>
      </w:pPr>
      <w:r>
        <w:t>Contrôle 15</w:t>
      </w:r>
    </w:p>
    <w:p>
      <w:pPr>
        <w:spacing w:after="220"/>
      </w:pPr>
      <w:r>
        <w:rPr>
          <w:b/>
        </w:rPr>
        <w:t xml:space="preserve">Statut : </w:t>
      </w:r>
      <w:r>
        <w:t>[à compléter]</w:t>
      </w:r>
    </w:p>
    <w:p>
      <w:pPr>
        <w:spacing w:after="220"/>
      </w:pPr>
      <w:r>
        <w:rPr>
          <w:b/>
        </w:rPr>
        <w:t xml:space="preserve">Preuve ou justification : </w:t>
      </w:r>
      <w:r>
        <w:t>[à compléter]</w:t>
      </w:r>
    </w:p>
    <w:p>
      <w:pPr>
        <w:spacing w:after="220"/>
      </w:pPr>
      <w:r>
        <w:rPr>
          <w:b/>
        </w:rPr>
        <w:t xml:space="preserve">Action et responsable et échéance : </w:t>
      </w:r>
      <w:r>
        <w:t>[à compléter]</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Khalid Kanouf  |  Ressources IA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Arial" w:hAnsi="Arial"/>
      <w:color w:val="30363C"/>
      <w:sz w:val="22"/>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4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140"/>
    </w:pPr>
    <w:rPr>
      <w:rFonts w:asciiTheme="majorHAnsi" w:eastAsiaTheme="majorEastAsia" w:hAnsiTheme="majorHAnsi" w:cstheme="majorBidi" w:ascii="Arial" w:hAnsi="Arial"/>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after="14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khalid-kanouf.com/ressources/checklist-audit-ia-generative/" TargetMode="External"/><Relationship Id="rId11" Type="http://schemas.openxmlformats.org/officeDocument/2006/relationships/hyperlink" Target="https://www.khalid-kanouf.com/ressources/grille-audit-maturite-ia/" TargetMode="External"/><Relationship Id="rId12" Type="http://schemas.openxmlformats.org/officeDocument/2006/relationships/hyperlink" Target="https://www.khalid-kanouf.com/ressources/matrice-risques-usages-ia/" TargetMode="External"/><Relationship Id="rId13" Type="http://schemas.openxmlformats.org/officeDocument/2006/relationships/hyperlink" Target="https://www.cnil.fr/fr/comment-deployer-une-ia-generative-la-cnil-apporte-de-premieres-preci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pour auditer un pilote IA</dc:title>
  <dc:subject>15 contrôles pour préparer un pilote IA et repérer ce qui doit être clarifié avant sa mise en œuvre. Chaque point associe une vérification, une preuve attendue et un signal qui appelle une action.</dc:subject>
  <dc:creator>Khalid Kanouf</dc:creator>
  <cp:keywords/>
  <dc:description>generated by python-docx</dc:description>
  <cp:lastModifiedBy/>
  <cp:revision>1</cp:revision>
  <dcterms:created xsi:type="dcterms:W3CDTF">2013-12-23T23:15:00Z</dcterms:created>
  <dcterms:modified xsi:type="dcterms:W3CDTF">2013-12-23T23:15:00Z</dcterms:modified>
  <cp:category/>
</cp:coreProperties>
</file>