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KHALID KANOUF</w:t>
      </w:r>
    </w:p>
    <w:p>
      <w:pPr>
        <w:pStyle w:val="Title"/>
      </w:pPr>
      <w:r>
        <w:t>Déployer une charte IA en équipe</w:t>
      </w:r>
    </w:p>
    <w:p>
      <w:pPr>
        <w:pStyle w:val="Subtitle"/>
      </w:pPr>
      <w:r>
        <w:t>Version 1.1 · Septembre 2026 · Document de travail modifiable</w:t>
      </w:r>
    </w:p>
    <w:p>
      <w:r>
        <w:t>Ce guide transforme une charte en règles appliquées dans le travail quotidien. Il propose quatre étapes, un atelier de 60 minutes, des indicateurs de suivi et une fiche de décision à compléter.</w:t>
      </w:r>
    </w:p>
    <w:p>
      <w:hyperlink r:id="rId10">
        <w:r>
          <w:rPr>
            <w:color w:val="9D1E35"/>
          </w:rPr>
          <w:t>Consulter la ressource et ses mises à jour</w:t>
        </w:r>
      </w:hyperlink>
    </w:p>
    <w:p>
      <w:pPr>
        <w:pStyle w:val="Heading1"/>
      </w:pPr>
      <w:r>
        <w:t>Choisir un périmètre réaliste</w:t>
      </w:r>
    </w:p>
    <w:p>
      <w:pPr/>
      <w:r>
        <w:rPr>
          <w:b w:val="0"/>
        </w:rPr>
        <w:t>Le calendrier proposé concerne une première équipe et un petit nombre d’usages. Les quatre semaines constituent un repère d’organisation, à adapter à la disponibilité des équipes et aux examens nécessaires. Une étape non résolue décale la suivante.</w:t>
      </w:r>
    </w:p>
    <w:p>
      <w:pPr/>
      <w:r>
        <w:rPr>
          <w:b w:val="0"/>
        </w:rPr>
        <w:t xml:space="preserve">Point de départ : une version de travail de la charte, un responsable identifié et deux ou trois situations métier. Si le cadre n’existe pas encore, commencer par le </w:t>
      </w:r>
      <w:hyperlink r:id="rId11">
        <w:r>
          <w:rPr>
            <w:color w:val="9D1E35"/>
          </w:rPr>
          <w:t>modèle de charte IA</w:t>
        </w:r>
      </w:hyperlink>
      <w:r>
        <w:rPr>
          <w:b w:val="0"/>
        </w:rPr>
        <w:t>.</w:t>
      </w:r>
    </w:p>
    <w:p>
      <w:pPr>
        <w:pStyle w:val="Heading1"/>
      </w:pPr>
      <w:r>
        <w:t>Semaine 1 Cadrer et répartir les responsabilités</w:t>
      </w:r>
    </w:p>
    <w:p>
      <w:pPr>
        <w:pStyle w:val="ListBullet"/>
      </w:pPr>
      <w:r>
        <w:rPr>
          <w:b/>
        </w:rPr>
        <w:t>Responsable :</w:t>
      </w:r>
      <w:r>
        <w:rPr>
          <w:b w:val="0"/>
        </w:rPr>
        <w:t xml:space="preserve"> un pilote désigné par la direction, avec les représentants des métiers et les fonctions compétentes selon les sujets.</w:t>
      </w:r>
    </w:p>
    <w:p>
      <w:pPr>
        <w:pStyle w:val="ListBullet"/>
      </w:pPr>
      <w:r>
        <w:rPr>
          <w:b/>
        </w:rPr>
        <w:t>Travail :</w:t>
      </w:r>
      <w:r>
        <w:rPr>
          <w:b w:val="0"/>
        </w:rPr>
        <w:t xml:space="preserve"> recenser les usages, examiner les données, les outils et leurs permissions, nommer les valideurs et identifier les cas non couverts.</w:t>
      </w:r>
    </w:p>
    <w:p>
      <w:pPr>
        <w:pStyle w:val="ListBullet"/>
      </w:pPr>
      <w:r>
        <w:rPr>
          <w:b/>
        </w:rPr>
        <w:t>Livrables :</w:t>
      </w:r>
      <w:r>
        <w:rPr>
          <w:b w:val="0"/>
        </w:rPr>
        <w:t xml:space="preserve"> charte annotée, registre des usages et annuaire des interlocuteurs.</w:t>
      </w:r>
    </w:p>
    <w:p>
      <w:pPr>
        <w:pStyle w:val="ListBullet"/>
      </w:pPr>
      <w:r>
        <w:rPr>
          <w:b/>
        </w:rPr>
        <w:t>Critère de passage :</w:t>
      </w:r>
      <w:r>
        <w:rPr>
          <w:b w:val="0"/>
        </w:rPr>
        <w:t xml:space="preserve"> chaque usage pilote a une finalité, des conditions de données et d’accès examinées et un responsable de validation. Les points non résolus sont consignés.</w:t>
      </w:r>
    </w:p>
    <w:p>
      <w:pPr>
        <w:pStyle w:val="Heading1"/>
      </w:pPr>
      <w:r>
        <w:t>Semaine 2 Expliquer les règles sur des cas concrets</w:t>
      </w:r>
    </w:p>
    <w:p>
      <w:pPr>
        <w:pStyle w:val="ListBullet"/>
      </w:pPr>
      <w:r>
        <w:rPr>
          <w:b/>
        </w:rPr>
        <w:t>Responsable :</w:t>
      </w:r>
      <w:r>
        <w:rPr>
          <w:b w:val="0"/>
        </w:rPr>
        <w:t xml:space="preserve"> le pilote avec un manager ou un intervenant pédagogique.</w:t>
      </w:r>
    </w:p>
    <w:p>
      <w:pPr>
        <w:pStyle w:val="ListBullet"/>
      </w:pPr>
      <w:r>
        <w:rPr>
          <w:b/>
        </w:rPr>
        <w:t>Travail :</w:t>
      </w:r>
      <w:r>
        <w:rPr>
          <w:b w:val="0"/>
        </w:rPr>
        <w:t xml:space="preserve"> animer un atelier, faire appliquer la charte à trois cas et recueillir les questions.</w:t>
      </w:r>
    </w:p>
    <w:p>
      <w:pPr>
        <w:pStyle w:val="ListBullet"/>
      </w:pPr>
      <w:r>
        <w:rPr>
          <w:b/>
        </w:rPr>
        <w:t>Livrables :</w:t>
      </w:r>
      <w:r>
        <w:rPr>
          <w:b w:val="0"/>
        </w:rPr>
        <w:t xml:space="preserve"> exemples commentés, réponses aux questions récurrentes et corrections du texte.</w:t>
      </w:r>
    </w:p>
    <w:p>
      <w:pPr>
        <w:pStyle w:val="ListBullet"/>
      </w:pPr>
      <w:r>
        <w:rPr>
          <w:b/>
        </w:rPr>
        <w:t>Critère de passage :</w:t>
      </w:r>
      <w:r>
        <w:rPr>
          <w:b w:val="0"/>
        </w:rPr>
        <w:t xml:space="preserve"> les participants savent expliquer la règle, choisir le bon interlocuteur et repérer une situation qui demande un examen.</w:t>
      </w:r>
    </w:p>
    <w:p>
      <w:pPr>
        <w:pStyle w:val="Heading1"/>
      </w:pPr>
      <w:r>
        <w:t>Semaine 3 Tester dans un périmètre borné</w:t>
      </w:r>
    </w:p>
    <w:p>
      <w:pPr>
        <w:pStyle w:val="ListBullet"/>
      </w:pPr>
      <w:r>
        <w:rPr>
          <w:b/>
        </w:rPr>
        <w:t>Responsable :</w:t>
      </w:r>
      <w:r>
        <w:rPr>
          <w:b w:val="0"/>
        </w:rPr>
        <w:t xml:space="preserve"> le responsable métier et le valideur du pilote.</w:t>
      </w:r>
    </w:p>
    <w:p>
      <w:pPr>
        <w:pStyle w:val="ListBullet"/>
      </w:pPr>
      <w:r>
        <w:rPr>
          <w:b/>
        </w:rPr>
        <w:t>Travail :</w:t>
      </w:r>
      <w:r>
        <w:rPr>
          <w:b w:val="0"/>
        </w:rPr>
        <w:t xml:space="preserve"> réaliser des tâches avec une matière autorisée, vérifier les productions et noter les difficultés.</w:t>
      </w:r>
    </w:p>
    <w:p>
      <w:pPr>
        <w:pStyle w:val="ListBullet"/>
      </w:pPr>
      <w:r>
        <w:rPr>
          <w:b/>
        </w:rPr>
        <w:t>Livrables :</w:t>
      </w:r>
      <w:r>
        <w:rPr>
          <w:b w:val="0"/>
        </w:rPr>
        <w:t xml:space="preserve"> journal des essais, productions relues, temps total et incidents éventuels.</w:t>
      </w:r>
    </w:p>
    <w:p>
      <w:pPr>
        <w:pStyle w:val="ListBullet"/>
      </w:pPr>
      <w:r>
        <w:rPr>
          <w:b/>
        </w:rPr>
        <w:t>Critère de passage :</w:t>
      </w:r>
      <w:r>
        <w:rPr>
          <w:b w:val="0"/>
        </w:rPr>
        <w:t xml:space="preserve"> les contrôles prévus ont été réalisés ; les écarts critiques sont résolus avant extension ; les ajustements sont documentés.</w:t>
      </w:r>
    </w:p>
    <w:p>
      <w:pPr>
        <w:pStyle w:val="Heading1"/>
      </w:pPr>
      <w:r>
        <w:t>Semaine 4 Réviser et décider de la suite</w:t>
      </w:r>
    </w:p>
    <w:p>
      <w:pPr>
        <w:pStyle w:val="ListBullet"/>
      </w:pPr>
      <w:r>
        <w:rPr>
          <w:b/>
        </w:rPr>
        <w:t>Responsable :</w:t>
      </w:r>
      <w:r>
        <w:rPr>
          <w:b w:val="0"/>
        </w:rPr>
        <w:t xml:space="preserve"> le pilote et le décideur du périmètre.</w:t>
      </w:r>
    </w:p>
    <w:p>
      <w:pPr>
        <w:pStyle w:val="ListBullet"/>
      </w:pPr>
      <w:r>
        <w:rPr>
          <w:b/>
        </w:rPr>
        <w:t>Travail :</w:t>
      </w:r>
      <w:r>
        <w:rPr>
          <w:b w:val="0"/>
        </w:rPr>
        <w:t xml:space="preserve"> comparer les résultats aux attentes, modifier la charte et choisir de poursuivre, restreindre, approfondir ou arrêter.</w:t>
      </w:r>
    </w:p>
    <w:p>
      <w:pPr>
        <w:pStyle w:val="ListBullet"/>
      </w:pPr>
      <w:r>
        <w:rPr>
          <w:b/>
        </w:rPr>
        <w:t>Livrables :</w:t>
      </w:r>
      <w:r>
        <w:rPr>
          <w:b w:val="0"/>
        </w:rPr>
        <w:t xml:space="preserve"> version datée, décision motivée, plan de formation et prochaine revue.</w:t>
      </w:r>
    </w:p>
    <w:p>
      <w:pPr>
        <w:pStyle w:val="ListBullet"/>
      </w:pPr>
      <w:r>
        <w:rPr>
          <w:b/>
        </w:rPr>
        <w:t>Critère de passage :</w:t>
      </w:r>
      <w:r>
        <w:rPr>
          <w:b w:val="0"/>
        </w:rPr>
        <w:t xml:space="preserve"> l’équipe dispose d’une règle de référence, d’un contact et d’un circuit de validation utilisable.</w:t>
      </w:r>
    </w:p>
    <w:p>
      <w:pPr>
        <w:pStyle w:val="Heading1"/>
      </w:pPr>
      <w:r>
        <w:t>Un atelier de prise en main de 60 minutes</w:t>
      </w:r>
    </w:p>
    <w:p>
      <w:pPr>
        <w:pStyle w:val="ListBullet"/>
      </w:pPr>
      <w:r>
        <w:rPr>
          <w:b/>
        </w:rPr>
        <w:t>0 à 10 minutes :</w:t>
      </w:r>
      <w:r>
        <w:rPr>
          <w:b w:val="0"/>
        </w:rPr>
        <w:t xml:space="preserve"> présenter le périmètre, les usages et le rôle de la charte.</w:t>
      </w:r>
    </w:p>
    <w:p>
      <w:pPr>
        <w:pStyle w:val="ListBullet"/>
      </w:pPr>
      <w:r>
        <w:rPr>
          <w:b/>
        </w:rPr>
        <w:t>10 à 25 minutes :</w:t>
      </w:r>
      <w:r>
        <w:rPr>
          <w:b w:val="0"/>
        </w:rPr>
        <w:t xml:space="preserve"> examiner trois situations préparées : matière publique autorisée, donnée au statut incertain, production destinée à un client ou à des apprenants.</w:t>
      </w:r>
    </w:p>
    <w:p>
      <w:pPr>
        <w:pStyle w:val="ListBullet"/>
      </w:pPr>
      <w:r>
        <w:rPr>
          <w:b/>
        </w:rPr>
        <w:t>25 à 40 minutes :</w:t>
      </w:r>
      <w:r>
        <w:rPr>
          <w:b w:val="0"/>
        </w:rPr>
        <w:t xml:space="preserve"> faire choisir une conduite à tenir en petits groupes, avec la règle et le contact associés.</w:t>
      </w:r>
    </w:p>
    <w:p>
      <w:pPr>
        <w:pStyle w:val="ListBullet"/>
      </w:pPr>
      <w:r>
        <w:rPr>
          <w:b/>
        </w:rPr>
        <w:t>40 à 50 minutes :</w:t>
      </w:r>
      <w:r>
        <w:rPr>
          <w:b w:val="0"/>
        </w:rPr>
        <w:t xml:space="preserve"> confronter les réponses, corriger les ambiguïtés et expliquer les critères.</w:t>
      </w:r>
    </w:p>
    <w:p>
      <w:pPr>
        <w:pStyle w:val="ListBullet"/>
      </w:pPr>
      <w:r>
        <w:rPr>
          <w:b/>
        </w:rPr>
        <w:t>50 à 60 minutes :</w:t>
      </w:r>
      <w:r>
        <w:rPr>
          <w:b w:val="0"/>
        </w:rPr>
        <w:t xml:space="preserve"> consigner les questions restantes, les actions et les responsables.</w:t>
      </w:r>
    </w:p>
    <w:p>
      <w:pPr/>
      <w:r>
        <w:rPr>
          <w:b w:val="0"/>
        </w:rPr>
        <w:t>Le matériel comprend les fiches de cas, la charte et une feuille de restitution. Des exemples fictifs ou des documents autorisés évitent d’introduire des données dont l’usage n’a pas été examiné.</w:t>
      </w:r>
    </w:p>
    <w:p>
      <w:pPr>
        <w:pStyle w:val="Heading1"/>
      </w:pPr>
      <w:r>
        <w:t>Mesurer la compréhension et la mise en pratique</w:t>
      </w:r>
    </w:p>
    <w:p>
      <w:pPr>
        <w:pStyle w:val="ListBullet"/>
      </w:pPr>
      <w:r>
        <w:rPr>
          <w:b/>
        </w:rPr>
        <w:t>Compréhension :</w:t>
      </w:r>
      <w:r>
        <w:rPr>
          <w:b w:val="0"/>
        </w:rPr>
        <w:t xml:space="preserve"> nombre de participants capables de justifier la conduite à tenir sur les cas proposés, rapporté au nombre évalué. Définir le seuil attendu avant l’atelier.</w:t>
      </w:r>
    </w:p>
    <w:p>
      <w:pPr>
        <w:pStyle w:val="ListBullet"/>
      </w:pPr>
      <w:r>
        <w:rPr>
          <w:b/>
        </w:rPr>
        <w:t>Application :</w:t>
      </w:r>
      <w:r>
        <w:rPr>
          <w:b w:val="0"/>
        </w:rPr>
        <w:t xml:space="preserve"> part des essais examinés avec une validation documentée ; indiquer le nombre et la période des essais.</w:t>
      </w:r>
    </w:p>
    <w:p>
      <w:pPr>
        <w:pStyle w:val="ListBullet"/>
      </w:pPr>
      <w:r>
        <w:rPr>
          <w:b/>
        </w:rPr>
        <w:t>Difficultés :</w:t>
      </w:r>
      <w:r>
        <w:rPr>
          <w:b w:val="0"/>
        </w:rPr>
        <w:t xml:space="preserve"> nombre de questions non résolues, ancienneté et responsable de réponse.</w:t>
      </w:r>
    </w:p>
    <w:p>
      <w:pPr>
        <w:pStyle w:val="ListBullet"/>
      </w:pPr>
      <w:r>
        <w:rPr>
          <w:b/>
        </w:rPr>
        <w:t>Résultat métier :</w:t>
      </w:r>
      <w:r>
        <w:rPr>
          <w:b w:val="0"/>
        </w:rPr>
        <w:t xml:space="preserve"> qualité et temps total, contrôles et corrections inclus, comparés à une référence.</w:t>
      </w:r>
    </w:p>
    <w:p>
      <w:pPr>
        <w:pStyle w:val="ListBullet"/>
      </w:pPr>
      <w:r>
        <w:rPr>
          <w:b/>
        </w:rPr>
        <w:t>Révision :</w:t>
      </w:r>
      <w:r>
        <w:rPr>
          <w:b w:val="0"/>
        </w:rPr>
        <w:t xml:space="preserve"> corrections de la charte issues des observations et vérification de leur compréhension.</w:t>
      </w:r>
    </w:p>
    <w:p>
      <w:pPr/>
      <w:r>
        <w:rPr>
          <w:b w:val="0"/>
        </w:rPr>
        <w:t>La signature d’un document ou la présence à une réunion ne démontre pas, seule, la capacité à appliquer les règles. Une absence d’incidents signalés peut aussi traduire un canal de remontée mal connu.</w:t>
      </w:r>
    </w:p>
    <w:p>
      <w:pPr>
        <w:pStyle w:val="Heading1"/>
      </w:pPr>
      <w:r>
        <w:t>Exemple fictif un organisme de formation</w:t>
      </w:r>
    </w:p>
    <w:p>
      <w:pPr/>
      <w:r>
        <w:rPr>
          <w:b w:val="0"/>
        </w:rPr>
        <w:t>Un organisme souhaite utiliser l’IA pour préparer des activités à partir de supports autorisés. Le pilote couvre un module et deux intervenants. Le responsable pédagogique vérifie objectifs, consignes et corrections. L’atelier fait travailler un cas de document contenant des données d’apprenants, un exercice avec une erreur et un support trop générique.</w:t>
      </w:r>
    </w:p>
    <w:p>
      <w:pPr/>
      <w:r>
        <w:rPr>
          <w:b w:val="0"/>
        </w:rPr>
        <w:t>La première revue montre que le contrôle des corrections est compris, mais que la règle sur les données reste ambiguë. L’équipe précise la clause et répète l’exercice avant d’élargir le périmètre. Cet exemple illustre une démarche ; il ne décrit pas une mission client.</w:t>
      </w:r>
    </w:p>
    <w:p>
      <w:pPr>
        <w:pStyle w:val="Heading1"/>
      </w:pPr>
      <w:r>
        <w:t>Préparer la restitution</w:t>
      </w:r>
    </w:p>
    <w:p>
      <w:pPr/>
      <w:r>
        <w:rPr>
          <w:b w:val="0"/>
        </w:rPr>
        <w:t>Le fichier modifiable contient un relevé par semaine : action, responsable, échéance, preuve et décision. Il propose aussi un journal des questions et une fiche de revue du pilote.</w:t>
      </w:r>
    </w:p>
    <w:p>
      <w:pPr/>
      <w:r>
        <w:rPr>
          <w:b w:val="0"/>
        </w:rPr>
        <w:t xml:space="preserve">La </w:t>
      </w:r>
      <w:hyperlink r:id="rId12">
        <w:r>
          <w:rPr>
            <w:color w:val="9D1E35"/>
          </w:rPr>
          <w:t>checklist</w:t>
        </w:r>
      </w:hyperlink>
      <w:r>
        <w:rPr>
          <w:b w:val="0"/>
        </w:rPr>
        <w:t xml:space="preserve"> vérifie les prérequis ; la </w:t>
      </w:r>
      <w:hyperlink r:id="rId13">
        <w:r>
          <w:rPr>
            <w:color w:val="9D1E35"/>
          </w:rPr>
          <w:t>matrice</w:t>
        </w:r>
      </w:hyperlink>
      <w:r>
        <w:rPr>
          <w:b w:val="0"/>
        </w:rPr>
        <w:t xml:space="preserve"> aide à choisir l’encadrement ; le </w:t>
      </w:r>
      <w:hyperlink r:id="rId14">
        <w:r>
          <w:rPr>
            <w:color w:val="9D1E35"/>
          </w:rPr>
          <w:t>référentiel de compétences</w:t>
        </w:r>
      </w:hyperlink>
      <w:r>
        <w:rPr>
          <w:b w:val="0"/>
        </w:rPr>
        <w:t xml:space="preserve"> précise les acquis à développer.</w:t>
      </w:r>
    </w:p>
    <w:p>
      <w:pPr>
        <w:pStyle w:val="Heading1"/>
      </w:pPr>
      <w:r>
        <w:t>Version et portée</w:t>
      </w:r>
    </w:p>
    <w:p>
      <w:pPr/>
      <w:r>
        <w:rPr>
          <w:b w:val="0"/>
        </w:rPr>
        <w:t>Khalid Kanouf · Version 1.1 · 7 septembre 2026. Proposition de déploiement pédagogique et organisationnel. Les validations techniques, juridiques et sectorielles nécessaires dépendent des usages retenus ; le calendrier ne les remplace pas.</w:t>
      </w:r>
    </w:p>
    <w:p>
      <w:pPr>
        <w:pStyle w:val="Heading1"/>
      </w:pPr>
      <w:r>
        <w:t>Feuille de déploiement semaines 1 et 2</w:t>
      </w:r>
    </w:p>
    <w:p>
      <w:pPr>
        <w:spacing w:after="220"/>
      </w:pPr>
      <w:r>
        <w:rPr>
          <w:b/>
        </w:rPr>
        <w:t xml:space="preserve">Organisation et équipe : </w:t>
      </w:r>
      <w:r>
        <w:t>[à compléter]</w:t>
      </w:r>
    </w:p>
    <w:p>
      <w:pPr>
        <w:spacing w:after="220"/>
      </w:pPr>
      <w:r>
        <w:rPr>
          <w:b/>
        </w:rPr>
        <w:t xml:space="preserve">Pilote et décideur : </w:t>
      </w:r>
      <w:r>
        <w:t>[à compléter]</w:t>
      </w:r>
    </w:p>
    <w:p>
      <w:pPr>
        <w:spacing w:after="220"/>
      </w:pPr>
      <w:r>
        <w:rPr>
          <w:b/>
        </w:rPr>
        <w:t xml:space="preserve">Usages retenus et version de la charte : </w:t>
      </w:r>
      <w:r>
        <w:t>[à compléter]</w:t>
      </w:r>
    </w:p>
    <w:p>
      <w:pPr>
        <w:pStyle w:val="Heading2"/>
      </w:pPr>
      <w:r>
        <w:t>Semaine 1</w:t>
      </w:r>
    </w:p>
    <w:p>
      <w:pPr>
        <w:spacing w:after="220"/>
      </w:pPr>
      <w:r>
        <w:rPr>
          <w:b/>
        </w:rPr>
        <w:t xml:space="preserve">Action : </w:t>
      </w:r>
      <w:r>
        <w:t>[à compléter]</w:t>
      </w:r>
    </w:p>
    <w:p>
      <w:pPr>
        <w:spacing w:after="220"/>
      </w:pPr>
      <w:r>
        <w:rPr>
          <w:b/>
        </w:rPr>
        <w:t xml:space="preserve">Responsable et échéance : </w:t>
      </w:r>
      <w:r>
        <w:t>[à compléter]</w:t>
      </w:r>
    </w:p>
    <w:p>
      <w:pPr>
        <w:spacing w:after="220"/>
      </w:pPr>
      <w:r>
        <w:rPr>
          <w:b/>
        </w:rPr>
        <w:t xml:space="preserve">Livrable et preuve : </w:t>
      </w:r>
      <w:r>
        <w:t>[à compléter]</w:t>
      </w:r>
    </w:p>
    <w:p>
      <w:pPr>
        <w:spacing w:after="220"/>
      </w:pPr>
      <w:r>
        <w:rPr>
          <w:b/>
        </w:rPr>
        <w:t xml:space="preserve">Point non résolu : </w:t>
      </w:r>
      <w:r>
        <w:t>[à compléter]</w:t>
      </w:r>
    </w:p>
    <w:p>
      <w:pPr>
        <w:spacing w:after="220"/>
      </w:pPr>
      <w:r>
        <w:rPr>
          <w:b/>
        </w:rPr>
        <w:t xml:space="preserve">Décision de passage : </w:t>
      </w:r>
      <w:r>
        <w:t>[à compléter]</w:t>
      </w:r>
    </w:p>
    <w:p>
      <w:pPr>
        <w:pStyle w:val="Heading2"/>
      </w:pPr>
      <w:r>
        <w:t>Semaine 2</w:t>
      </w:r>
    </w:p>
    <w:p>
      <w:pPr>
        <w:spacing w:after="220"/>
      </w:pPr>
      <w:r>
        <w:rPr>
          <w:b/>
        </w:rPr>
        <w:t xml:space="preserve">Action : </w:t>
      </w:r>
      <w:r>
        <w:t>[à compléter]</w:t>
      </w:r>
    </w:p>
    <w:p>
      <w:pPr>
        <w:spacing w:after="220"/>
      </w:pPr>
      <w:r>
        <w:rPr>
          <w:b/>
        </w:rPr>
        <w:t xml:space="preserve">Responsable et échéance : </w:t>
      </w:r>
      <w:r>
        <w:t>[à compléter]</w:t>
      </w:r>
    </w:p>
    <w:p>
      <w:pPr>
        <w:spacing w:after="220"/>
      </w:pPr>
      <w:r>
        <w:rPr>
          <w:b/>
        </w:rPr>
        <w:t xml:space="preserve">Livrable et preuve : </w:t>
      </w:r>
      <w:r>
        <w:t>[à compléter]</w:t>
      </w:r>
    </w:p>
    <w:p>
      <w:pPr>
        <w:spacing w:after="220"/>
      </w:pPr>
      <w:r>
        <w:rPr>
          <w:b/>
        </w:rPr>
        <w:t xml:space="preserve">Point non résolu : </w:t>
      </w:r>
      <w:r>
        <w:t>[à compléter]</w:t>
      </w:r>
    </w:p>
    <w:p>
      <w:pPr>
        <w:spacing w:after="220"/>
      </w:pPr>
      <w:r>
        <w:rPr>
          <w:b/>
        </w:rPr>
        <w:t xml:space="preserve">Décision de passage : </w:t>
      </w:r>
      <w:r>
        <w:t>[à compléter]</w:t>
      </w:r>
    </w:p>
    <w:p>
      <w:r>
        <w:br w:type="page"/>
      </w:r>
    </w:p>
    <w:p>
      <w:pPr>
        <w:pStyle w:val="Heading1"/>
      </w:pPr>
      <w:r>
        <w:t>Feuille de déploiement semaines 3 et 4</w:t>
      </w:r>
    </w:p>
    <w:p>
      <w:pPr>
        <w:pStyle w:val="Heading2"/>
      </w:pPr>
      <w:r>
        <w:t>Semaine 3</w:t>
      </w:r>
    </w:p>
    <w:p>
      <w:pPr>
        <w:spacing w:after="220"/>
      </w:pPr>
      <w:r>
        <w:rPr>
          <w:b/>
        </w:rPr>
        <w:t xml:space="preserve">Action : </w:t>
      </w:r>
      <w:r>
        <w:t>[à compléter]</w:t>
      </w:r>
    </w:p>
    <w:p>
      <w:pPr>
        <w:spacing w:after="220"/>
      </w:pPr>
      <w:r>
        <w:rPr>
          <w:b/>
        </w:rPr>
        <w:t xml:space="preserve">Responsable et échéance : </w:t>
      </w:r>
      <w:r>
        <w:t>[à compléter]</w:t>
      </w:r>
    </w:p>
    <w:p>
      <w:pPr>
        <w:spacing w:after="220"/>
      </w:pPr>
      <w:r>
        <w:rPr>
          <w:b/>
        </w:rPr>
        <w:t xml:space="preserve">Livrable et preuve : </w:t>
      </w:r>
      <w:r>
        <w:t>[à compléter]</w:t>
      </w:r>
    </w:p>
    <w:p>
      <w:pPr>
        <w:spacing w:after="220"/>
      </w:pPr>
      <w:r>
        <w:rPr>
          <w:b/>
        </w:rPr>
        <w:t xml:space="preserve">Point non résolu : </w:t>
      </w:r>
      <w:r>
        <w:t>[à compléter]</w:t>
      </w:r>
    </w:p>
    <w:p>
      <w:pPr>
        <w:spacing w:after="220"/>
      </w:pPr>
      <w:r>
        <w:rPr>
          <w:b/>
        </w:rPr>
        <w:t xml:space="preserve">Décision de passage : </w:t>
      </w:r>
      <w:r>
        <w:t>[à compléter]</w:t>
      </w:r>
    </w:p>
    <w:p>
      <w:pPr>
        <w:pStyle w:val="Heading2"/>
      </w:pPr>
      <w:r>
        <w:t>Semaine 4</w:t>
      </w:r>
    </w:p>
    <w:p>
      <w:pPr>
        <w:spacing w:after="220"/>
      </w:pPr>
      <w:r>
        <w:rPr>
          <w:b/>
        </w:rPr>
        <w:t xml:space="preserve">Action : </w:t>
      </w:r>
      <w:r>
        <w:t>[à compléter]</w:t>
      </w:r>
    </w:p>
    <w:p>
      <w:pPr>
        <w:spacing w:after="220"/>
      </w:pPr>
      <w:r>
        <w:rPr>
          <w:b/>
        </w:rPr>
        <w:t xml:space="preserve">Responsable et échéance : </w:t>
      </w:r>
      <w:r>
        <w:t>[à compléter]</w:t>
      </w:r>
    </w:p>
    <w:p>
      <w:pPr>
        <w:spacing w:after="220"/>
      </w:pPr>
      <w:r>
        <w:rPr>
          <w:b/>
        </w:rPr>
        <w:t xml:space="preserve">Livrable et preuve : </w:t>
      </w:r>
      <w:r>
        <w:t>[à compléter]</w:t>
      </w:r>
    </w:p>
    <w:p>
      <w:pPr>
        <w:spacing w:after="220"/>
      </w:pPr>
      <w:r>
        <w:rPr>
          <w:b/>
        </w:rPr>
        <w:t xml:space="preserve">Point non résolu : </w:t>
      </w:r>
      <w:r>
        <w:t>[à compléter]</w:t>
      </w:r>
    </w:p>
    <w:p>
      <w:pPr>
        <w:spacing w:after="220"/>
      </w:pPr>
      <w:r>
        <w:rPr>
          <w:b/>
        </w:rPr>
        <w:t xml:space="preserve">Décision de passage : </w:t>
      </w:r>
      <w:r>
        <w:t>[à compléter]</w:t>
      </w:r>
    </w:p>
    <w:p>
      <w:r>
        <w:br w:type="page"/>
      </w:r>
    </w:p>
    <w:p>
      <w:pPr>
        <w:pStyle w:val="Heading1"/>
      </w:pPr>
      <w:r>
        <w:t>Journal des questions et revue du pilote</w:t>
      </w:r>
    </w:p>
    <w:p>
      <w:pPr>
        <w:pStyle w:val="Heading2"/>
      </w:pPr>
      <w:r>
        <w:t>Question à suivre</w:t>
      </w:r>
    </w:p>
    <w:p>
      <w:pPr>
        <w:spacing w:after="220"/>
      </w:pPr>
      <w:r>
        <w:rPr>
          <w:b/>
        </w:rPr>
        <w:t xml:space="preserve">Question et contexte : </w:t>
      </w:r>
      <w:r>
        <w:t>[à compléter]</w:t>
      </w:r>
    </w:p>
    <w:p>
      <w:pPr>
        <w:spacing w:after="220"/>
      </w:pPr>
      <w:r>
        <w:rPr>
          <w:b/>
        </w:rPr>
        <w:t xml:space="preserve">Responsable : </w:t>
      </w:r>
      <w:r>
        <w:t>[à compléter]</w:t>
      </w:r>
    </w:p>
    <w:p>
      <w:pPr>
        <w:spacing w:after="220"/>
      </w:pPr>
      <w:r>
        <w:rPr>
          <w:b/>
        </w:rPr>
        <w:t xml:space="preserve">Réponse et règle concernée : </w:t>
      </w:r>
      <w:r>
        <w:t>[à compléter]</w:t>
      </w:r>
    </w:p>
    <w:p>
      <w:pPr>
        <w:spacing w:after="220"/>
      </w:pPr>
      <w:r>
        <w:rPr>
          <w:b/>
        </w:rPr>
        <w:t xml:space="preserve">Date et action de vérification : </w:t>
      </w:r>
      <w:r>
        <w:t>[à compléter]</w:t>
      </w:r>
    </w:p>
    <w:p>
      <w:pPr>
        <w:pStyle w:val="Heading2"/>
      </w:pPr>
      <w:r>
        <w:t>Revue du pilote</w:t>
      </w:r>
    </w:p>
    <w:p>
      <w:pPr>
        <w:spacing w:after="220"/>
      </w:pPr>
      <w:r>
        <w:rPr>
          <w:b/>
        </w:rPr>
        <w:t xml:space="preserve">Périmètre et période : </w:t>
      </w:r>
      <w:r>
        <w:t>[à compléter]</w:t>
      </w:r>
    </w:p>
    <w:p>
      <w:pPr>
        <w:spacing w:after="220"/>
      </w:pPr>
      <w:r>
        <w:rPr>
          <w:b/>
        </w:rPr>
        <w:t xml:space="preserve">Qualité et temps total observés : </w:t>
      </w:r>
      <w:r>
        <w:t>[à compléter]</w:t>
      </w:r>
    </w:p>
    <w:p>
      <w:pPr>
        <w:spacing w:after="220"/>
      </w:pPr>
      <w:r>
        <w:rPr>
          <w:b/>
        </w:rPr>
        <w:t xml:space="preserve">Écarts et conditions restantes : </w:t>
      </w:r>
      <w:r>
        <w:t>[à compléter]</w:t>
      </w:r>
    </w:p>
    <w:p>
      <w:pPr>
        <w:spacing w:after="220"/>
      </w:pPr>
      <w:r>
        <w:rPr>
          <w:b/>
        </w:rPr>
        <w:t xml:space="preserve">Décision et motif : </w:t>
      </w:r>
      <w:r>
        <w:t>[à compléter]</w:t>
      </w:r>
    </w:p>
    <w:p>
      <w:pPr>
        <w:spacing w:after="220"/>
      </w:pPr>
      <w:r>
        <w:rPr>
          <w:b/>
        </w:rPr>
        <w:t xml:space="preserve">Décideur et date : </w:t>
      </w:r>
      <w:r>
        <w:t>[à compléter]</w:t>
      </w:r>
    </w:p>
    <w:p>
      <w:pPr>
        <w:spacing w:after="220"/>
      </w:pPr>
      <w:r>
        <w:rPr>
          <w:b/>
        </w:rPr>
        <w:t xml:space="preserve">Prochaine revue : </w:t>
      </w:r>
      <w:r>
        <w:t>[à compléter]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Khalid Kanouf  |  Ressources IA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Arial" w:hAnsi="Arial"/>
      <w:color w:val="30363C"/>
      <w:sz w:val="22"/>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4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140"/>
    </w:pPr>
    <w:rPr>
      <w:rFonts w:asciiTheme="majorHAnsi" w:eastAsiaTheme="majorEastAsia" w:hAnsiTheme="majorHAnsi" w:cstheme="majorBidi"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after="14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khalid-kanouf.com/ressources/guide-deployer-charte-ia-entreprise/" TargetMode="External"/><Relationship Id="rId11" Type="http://schemas.openxmlformats.org/officeDocument/2006/relationships/hyperlink" Target="https://www.khalid-kanouf.com/ressources/charte-usage-ia-entreprise/" TargetMode="External"/><Relationship Id="rId12" Type="http://schemas.openxmlformats.org/officeDocument/2006/relationships/hyperlink" Target="https://www.khalid-kanouf.com/ressources/checklist-audit-ia-generative/" TargetMode="External"/><Relationship Id="rId13" Type="http://schemas.openxmlformats.org/officeDocument/2006/relationships/hyperlink" Target="https://www.khalid-kanouf.com/ressources/matrice-risques-usages-ia/" TargetMode="External"/><Relationship Id="rId14" Type="http://schemas.openxmlformats.org/officeDocument/2006/relationships/hyperlink" Target="https://www.khalid-kanouf.com/ressources/referentiel-competences-ia-met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Déployer une charte IA en équipe</dc:title>
  <dc:subject>Ce guide transforme une charte en règles appliquées dans le travail quotidien. Il propose quatre étapes, un atelier de 60 minutes, des indicateurs de suivi et une fiche de décision à compléter.</dc:subject>
  <dc:creator>Khalid Kanouf</dc:creator>
  <cp:keywords/>
  <dc:description>generated by python-docx</dc:description>
  <cp:lastModifiedBy/>
  <cp:revision>1</cp:revision>
  <dcterms:created xsi:type="dcterms:W3CDTF">2013-12-23T23:15:00Z</dcterms:created>
  <dcterms:modified xsi:type="dcterms:W3CDTF">2013-12-23T23:15:00Z</dcterms:modified>
  <cp:category/>
</cp:coreProperties>
</file>