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KHALID KANOUF</w:t>
      </w:r>
    </w:p>
    <w:p>
      <w:pPr>
        <w:pStyle w:val="Title"/>
      </w:pPr>
      <w:r>
        <w:t>Matrice des risques et des usages IA</w:t>
      </w:r>
    </w:p>
    <w:p>
      <w:pPr>
        <w:pStyle w:val="Subtitle"/>
      </w:pPr>
      <w:r>
        <w:t>Version 1.1 · Septembre 2026 · Document de travail modifiable</w:t>
      </w:r>
    </w:p>
    <w:p>
      <w:r>
        <w:t>Une matrice de décision pour choisir les usages à expérimenter, ceux qui demandent un encadrement renforcé et ceux qui doivent être différés. L’analyse porte sur une situation précise : données, destinataires, conséquences et capacité de contrôle.</w:t>
      </w:r>
    </w:p>
    <w:p>
      <w:hyperlink r:id="rId10">
        <w:r>
          <w:rPr>
            <w:color w:val="9D1E35"/>
          </w:rPr>
          <w:t>Consulter la ressource et ses mises à jour</w:t>
        </w:r>
      </w:hyperlink>
    </w:p>
    <w:p>
      <w:pPr>
        <w:pStyle w:val="Heading1"/>
      </w:pPr>
      <w:r>
        <w:t>Décrire un usage avant de le classer</w:t>
      </w:r>
    </w:p>
    <w:p>
      <w:pPr/>
      <w:r>
        <w:rPr>
          <w:b w:val="0"/>
        </w:rPr>
        <w:t>Renseigner : tâche, résultat attendu, utilisateurs, outil et version, données entrantes, destinataires du résultat, actions possibles, valideur et date de revue. « Résumer un document » n’est pas assez précis : résumer une brochure publique et un dossier individuel ne présentent pas les mêmes enjeux.</w:t>
      </w:r>
    </w:p>
    <w:p>
      <w:pPr/>
      <w:r>
        <w:rPr>
          <w:b w:val="0"/>
        </w:rPr>
        <w:t>Le fichier téléchargeable contient une fiche d’usage vierge, la matrice et un exemple fictif. Il permet de conserver la décision et ses conditions.</w:t>
      </w:r>
    </w:p>
    <w:p>
      <w:pPr>
        <w:pStyle w:val="Heading1"/>
      </w:pPr>
      <w:r>
        <w:t>Axe 1 Conséquences possibles des erreurs et des expositions</w:t>
      </w:r>
    </w:p>
    <w:p>
      <w:pPr>
        <w:pStyle w:val="ListBullet"/>
      </w:pPr>
      <w:r>
        <w:rPr>
          <w:b/>
        </w:rPr>
        <w:t>Limitées :</w:t>
      </w:r>
      <w:r>
        <w:rPr>
          <w:b w:val="0"/>
        </w:rPr>
        <w:t xml:space="preserve"> essai interne réversible sur des informations publiques ou synthétiques autorisées, sans effet direct sur une personne ni engagement externe.</w:t>
      </w:r>
    </w:p>
    <w:p>
      <w:pPr>
        <w:pStyle w:val="ListBullet"/>
      </w:pPr>
      <w:r>
        <w:rPr>
          <w:b/>
        </w:rPr>
        <w:t>Significatives :</w:t>
      </w:r>
      <w:r>
        <w:rPr>
          <w:b w:val="0"/>
        </w:rPr>
        <w:t xml:space="preserve"> contenu externe, travail client ou processus métier dont une erreur peut entraîner reprise, coût ou atteinte à la confiance.</w:t>
      </w:r>
    </w:p>
    <w:p>
      <w:pPr>
        <w:pStyle w:val="ListBullet"/>
      </w:pPr>
      <w:r>
        <w:rPr>
          <w:b/>
        </w:rPr>
        <w:t>Élevées :</w:t>
      </w:r>
      <w:r>
        <w:rPr>
          <w:b w:val="0"/>
        </w:rPr>
        <w:t xml:space="preserve"> effets possibles sur les droits, la santé, la sécurité, l’emploi, l’accès à une formation ou exposition d’informations confidentielles. Une analyse spécialisée est nécessaire.</w:t>
      </w:r>
    </w:p>
    <w:p>
      <w:pPr/>
      <w:r>
        <w:rPr>
          <w:b w:val="0"/>
        </w:rPr>
        <w:t>Retenir le niveau le plus élevé parmi les conséquences plausibles, et documenter le scénario. Ces catégories sont des repères de travail internes, pas une classification réglementaire.</w:t>
      </w:r>
    </w:p>
    <w:p>
      <w:pPr>
        <w:pStyle w:val="Heading1"/>
      </w:pPr>
      <w:r>
        <w:t>Axe 2 maîtrise effective du dispositif</w:t>
      </w:r>
    </w:p>
    <w:p>
      <w:pPr>
        <w:pStyle w:val="ListBullet"/>
      </w:pPr>
      <w:r>
        <w:rPr>
          <w:b/>
        </w:rPr>
        <w:t>Non établie :</w:t>
      </w:r>
      <w:r>
        <w:rPr>
          <w:b w:val="0"/>
        </w:rPr>
        <w:t xml:space="preserve"> données, paramètres, limites, permissions ou responsabilités inconnus.</w:t>
      </w:r>
    </w:p>
    <w:p>
      <w:pPr>
        <w:pStyle w:val="ListBullet"/>
      </w:pPr>
      <w:r>
        <w:rPr>
          <w:b/>
        </w:rPr>
        <w:t>Partielle :</w:t>
      </w:r>
      <w:r>
        <w:rPr>
          <w:b w:val="0"/>
        </w:rPr>
        <w:t xml:space="preserve"> contrôles définis, mais peu éprouvés ou dépendants d’une personne.</w:t>
      </w:r>
    </w:p>
    <w:p>
      <w:pPr>
        <w:pStyle w:val="ListBullet"/>
      </w:pPr>
      <w:r>
        <w:rPr>
          <w:b/>
        </w:rPr>
        <w:t>Documentée :</w:t>
      </w:r>
      <w:r>
        <w:rPr>
          <w:b w:val="0"/>
        </w:rPr>
        <w:t xml:space="preserve"> environnement examiné, permissions adaptées, contrôles testés et responsable capable d’arrêter ou de corriger l’usage.</w:t>
      </w:r>
    </w:p>
    <w:p>
      <w:pPr>
        <w:pStyle w:val="Heading1"/>
      </w:pPr>
      <w:r>
        <w:t>La matrice de décision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44"/>
        <w:gridCol w:w="2664"/>
        <w:gridCol w:w="2664"/>
        <w:gridCol w:w="2664"/>
      </w:tblGrid>
      <w:tr>
        <w:trPr>
          <w:cantSplit/>
          <w:tblHeader/>
        </w:trPr>
        <w:tc>
          <w:tcPr>
            <w:tcW w:type="dxa" w:w="1944"/>
            <w:vAlign w:val="center"/>
            <w:shd w:fill="30363C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60" w:before="60"/>
            </w:pPr>
            <w:r>
              <w:rPr>
                <w:b/>
                <w:color w:val="FFFFFF"/>
                <w:sz w:val="21"/>
              </w:rPr>
              <w:t>Conséquences</w:t>
            </w:r>
          </w:p>
        </w:tc>
        <w:tc>
          <w:tcPr>
            <w:tcW w:type="dxa" w:w="2664"/>
            <w:vAlign w:val="center"/>
            <w:shd w:fill="30363C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60" w:before="60"/>
            </w:pPr>
            <w:r>
              <w:rPr>
                <w:b/>
                <w:color w:val="FFFFFF"/>
                <w:sz w:val="21"/>
              </w:rPr>
              <w:t>Non établie</w:t>
            </w:r>
          </w:p>
        </w:tc>
        <w:tc>
          <w:tcPr>
            <w:tcW w:type="dxa" w:w="2664"/>
            <w:vAlign w:val="center"/>
            <w:shd w:fill="30363C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60" w:before="60"/>
            </w:pPr>
            <w:r>
              <w:rPr>
                <w:b/>
                <w:color w:val="FFFFFF"/>
                <w:sz w:val="21"/>
              </w:rPr>
              <w:t>Partielle</w:t>
            </w:r>
          </w:p>
        </w:tc>
        <w:tc>
          <w:tcPr>
            <w:tcW w:type="dxa" w:w="2664"/>
            <w:vAlign w:val="center"/>
            <w:shd w:fill="30363C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60" w:before="60"/>
            </w:pPr>
            <w:r>
              <w:rPr>
                <w:b/>
                <w:color w:val="FFFFFF"/>
                <w:sz w:val="21"/>
              </w:rPr>
              <w:t>Documentée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3F4F5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60" w:before="60"/>
            </w:pPr>
            <w:r>
              <w:rPr>
                <w:b w:val="0"/>
                <w:color w:val="30363C"/>
                <w:sz w:val="21"/>
              </w:rPr>
              <w:t>Limitées</w:t>
            </w:r>
          </w:p>
        </w:tc>
        <w:tc>
          <w:tcPr>
            <w:tcW w:type="dxa" w:w="2664"/>
            <w:vAlign w:val="center"/>
            <w:shd w:fill="F3F4F5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60" w:before="60"/>
            </w:pPr>
            <w:r>
              <w:rPr>
                <w:b w:val="0"/>
                <w:color w:val="30363C"/>
                <w:sz w:val="21"/>
              </w:rPr>
              <w:t>Cadrer d’abord</w:t>
            </w:r>
          </w:p>
        </w:tc>
        <w:tc>
          <w:tcPr>
            <w:tcW w:type="dxa" w:w="2664"/>
            <w:vAlign w:val="center"/>
            <w:shd w:fill="F3F4F5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60" w:before="60"/>
            </w:pPr>
            <w:r>
              <w:rPr>
                <w:b w:val="0"/>
                <w:color w:val="30363C"/>
                <w:sz w:val="21"/>
              </w:rPr>
              <w:t>Pilote borné</w:t>
            </w:r>
          </w:p>
        </w:tc>
        <w:tc>
          <w:tcPr>
            <w:tcW w:type="dxa" w:w="2664"/>
            <w:vAlign w:val="center"/>
            <w:shd w:fill="F3F4F5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60" w:before="60"/>
            </w:pPr>
            <w:r>
              <w:rPr>
                <w:b w:val="0"/>
                <w:color w:val="30363C"/>
                <w:sz w:val="21"/>
              </w:rPr>
              <w:t>Pilote suivi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60" w:before="60"/>
            </w:pPr>
            <w:r>
              <w:rPr>
                <w:b w:val="0"/>
                <w:color w:val="30363C"/>
                <w:sz w:val="21"/>
              </w:rPr>
              <w:t>Significatives</w:t>
            </w:r>
          </w:p>
        </w:tc>
        <w:tc>
          <w:tcPr>
            <w:tcW w:type="dxa" w:w="266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60" w:before="60"/>
            </w:pPr>
            <w:r>
              <w:rPr>
                <w:b w:val="0"/>
                <w:color w:val="30363C"/>
                <w:sz w:val="21"/>
              </w:rPr>
              <w:t>Différer</w:t>
            </w:r>
          </w:p>
        </w:tc>
        <w:tc>
          <w:tcPr>
            <w:tcW w:type="dxa" w:w="266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60" w:before="60"/>
            </w:pPr>
            <w:r>
              <w:rPr>
                <w:b w:val="0"/>
                <w:color w:val="30363C"/>
                <w:sz w:val="21"/>
              </w:rPr>
              <w:t>Renforcer les contrôles</w:t>
            </w:r>
          </w:p>
        </w:tc>
        <w:tc>
          <w:tcPr>
            <w:tcW w:type="dxa" w:w="266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60" w:before="60"/>
            </w:pPr>
            <w:r>
              <w:rPr>
                <w:b w:val="0"/>
                <w:color w:val="30363C"/>
                <w:sz w:val="21"/>
              </w:rPr>
              <w:t>Validation métier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3F4F5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b w:val="0"/>
                <w:color w:val="30363C"/>
                <w:sz w:val="21"/>
              </w:rPr>
              <w:t>Élevées</w:t>
            </w:r>
          </w:p>
        </w:tc>
        <w:tc>
          <w:tcPr>
            <w:tcW w:type="dxa" w:w="2664"/>
            <w:vAlign w:val="center"/>
            <w:shd w:fill="F3F4F5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b w:val="0"/>
                <w:color w:val="30363C"/>
                <w:sz w:val="21"/>
              </w:rPr>
              <w:t>Différer et examiner</w:t>
            </w:r>
          </w:p>
        </w:tc>
        <w:tc>
          <w:tcPr>
            <w:tcW w:type="dxa" w:w="2664"/>
            <w:vAlign w:val="center"/>
            <w:shd w:fill="F3F4F5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b w:val="0"/>
                <w:color w:val="30363C"/>
                <w:sz w:val="21"/>
              </w:rPr>
              <w:t>Examen spécialisé</w:t>
            </w:r>
          </w:p>
        </w:tc>
        <w:tc>
          <w:tcPr>
            <w:tcW w:type="dxa" w:w="2664"/>
            <w:vAlign w:val="center"/>
            <w:shd w:fill="F3F4F5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b w:val="0"/>
                <w:color w:val="30363C"/>
                <w:sz w:val="21"/>
              </w:rPr>
              <w:t>Examen spécialisé</w:t>
            </w:r>
          </w:p>
        </w:tc>
      </w:tr>
    </w:tbl>
    <w:p>
      <w:pPr>
        <w:spacing w:after="0"/>
      </w:pPr>
    </w:p>
    <w:p>
      <w:pPr/>
      <w:r>
        <w:rPr>
          <w:b/>
        </w:rPr>
        <w:t>Pilote borné :</w:t>
      </w:r>
      <w:r>
        <w:rPr>
          <w:b w:val="0"/>
        </w:rPr>
        <w:t xml:space="preserve"> petit périmètre, matière autorisée et relecture avant toute utilisation. </w:t>
      </w:r>
      <w:r>
        <w:rPr>
          <w:b/>
        </w:rPr>
        <w:t>Pilote suivi :</w:t>
      </w:r>
      <w:r>
        <w:rPr>
          <w:b w:val="0"/>
        </w:rPr>
        <w:t xml:space="preserve"> mêmes limites, avec suivi des résultats. </w:t>
      </w:r>
      <w:r>
        <w:rPr>
          <w:b/>
        </w:rPr>
        <w:t>Validation métier :</w:t>
      </w:r>
      <w:r>
        <w:rPr>
          <w:b w:val="0"/>
        </w:rPr>
        <w:t xml:space="preserve"> décision explicite du responsable après vérification des contrôles et des obligations applicables.</w:t>
      </w:r>
    </w:p>
    <w:p>
      <w:pPr/>
      <w:r>
        <w:rPr>
          <w:b w:val="0"/>
        </w:rPr>
        <w:t>La valeur commerciale attendue ne réduit pas le niveau de risque. Elle sert ensuite à prioriser les seuls usages dont les conditions sont réunies.</w:t>
      </w:r>
    </w:p>
    <w:p>
      <w:pPr>
        <w:pStyle w:val="Heading1"/>
      </w:pPr>
      <w:r>
        <w:t>Quatre situations à comparer</w:t>
      </w:r>
    </w:p>
    <w:p>
      <w:pPr>
        <w:pStyle w:val="ListBullet"/>
      </w:pPr>
      <w:r>
        <w:rPr>
          <w:b/>
        </w:rPr>
        <w:t>Explorer des titres à partir d’un brief public :</w:t>
      </w:r>
      <w:r>
        <w:rPr>
          <w:b w:val="0"/>
        </w:rPr>
        <w:t xml:space="preserve"> conséquences généralement limitées si le contenu reste interne et réversible ; vérifier les conditions d’utilisation des sources.</w:t>
      </w:r>
    </w:p>
    <w:p>
      <w:pPr>
        <w:pStyle w:val="ListBullet"/>
      </w:pPr>
      <w:r>
        <w:rPr>
          <w:b/>
        </w:rPr>
        <w:t>Préparer une proposition commerciale :</w:t>
      </w:r>
      <w:r>
        <w:rPr>
          <w:b w:val="0"/>
        </w:rPr>
        <w:t xml:space="preserve"> conséquences potentiellement significatives ; protéger les informations client et vérifier toute promesse avant envoi.</w:t>
      </w:r>
    </w:p>
    <w:p>
      <w:pPr>
        <w:pStyle w:val="ListBullet"/>
      </w:pPr>
      <w:r>
        <w:rPr>
          <w:b/>
        </w:rPr>
        <w:t>Concevoir des exercices sans données d’apprenants :</w:t>
      </w:r>
      <w:r>
        <w:rPr>
          <w:b w:val="0"/>
        </w:rPr>
        <w:t xml:space="preserve"> examiner l’exactitude, le niveau et les critères pédagogiques avec un formateur valideur.</w:t>
      </w:r>
    </w:p>
    <w:p>
      <w:pPr>
        <w:pStyle w:val="ListBullet"/>
      </w:pPr>
      <w:r>
        <w:rPr>
          <w:b/>
        </w:rPr>
        <w:t>Noter, classer ou sélectionner des personnes :</w:t>
      </w:r>
      <w:r>
        <w:rPr>
          <w:b w:val="0"/>
        </w:rPr>
        <w:t xml:space="preserve"> conséquences potentiellement élevées ; ne pas conclure à l’autorisation à partir de cette matrice.</w:t>
      </w:r>
    </w:p>
    <w:p>
      <w:pPr>
        <w:pStyle w:val="Heading1"/>
      </w:pPr>
      <w:r>
        <w:t>Exemple fictif et décision enregistrée</w:t>
      </w:r>
    </w:p>
    <w:p>
      <w:pPr/>
      <w:r>
        <w:rPr>
          <w:b w:val="0"/>
        </w:rPr>
        <w:t>Une équipe souhaite produire un premier argumentaire à partir d’informations publiques. La diffusion externe crée un enjeu de fiabilité. La maîtrise est partielle, car aucun contrôle des affirmations n’est défini. La décision proposée est de renforcer les contrôles : lister les preuves autorisées, nommer le valideur, comparer une production à la référence, puis réexaminer le pilote.</w:t>
      </w:r>
    </w:p>
    <w:p>
      <w:pPr/>
      <w:r>
        <w:rPr>
          <w:b w:val="0"/>
        </w:rPr>
        <w:t>Consigner dans la fiche : risque initial, mesures mises en place, risque restant, décision motivée, responsable, date et conditions de réexamen. Un changement d’outil, de données ou de destinataires appelle une nouvelle lecture.</w:t>
      </w:r>
    </w:p>
    <w:p>
      <w:pPr>
        <w:pStyle w:val="Heading1"/>
      </w:pPr>
      <w:r>
        <w:t>Passer de la matrice aux règles collectives</w:t>
      </w:r>
    </w:p>
    <w:p>
      <w:pPr/>
      <w:r>
        <w:rPr>
          <w:b w:val="0"/>
        </w:rPr>
        <w:t xml:space="preserve">Les décisions retenues alimentent la </w:t>
      </w:r>
      <w:hyperlink r:id="rId11">
        <w:r>
          <w:rPr>
            <w:color w:val="9D1E35"/>
          </w:rPr>
          <w:t>charte d’usage IA</w:t>
        </w:r>
      </w:hyperlink>
      <w:r>
        <w:rPr>
          <w:b w:val="0"/>
        </w:rPr>
        <w:t xml:space="preserve">. La </w:t>
      </w:r>
      <w:hyperlink r:id="rId12">
        <w:r>
          <w:rPr>
            <w:color w:val="9D1E35"/>
          </w:rPr>
          <w:t>checklist</w:t>
        </w:r>
      </w:hyperlink>
      <w:r>
        <w:rPr>
          <w:b w:val="0"/>
        </w:rPr>
        <w:t xml:space="preserve"> aide à vérifier les prérequis du pilote ; un </w:t>
      </w:r>
      <w:hyperlink r:id="rId13">
        <w:r>
          <w:rPr>
            <w:color w:val="9D1E35"/>
          </w:rPr>
          <w:t>accompagnement de stratégie et transition</w:t>
        </w:r>
      </w:hyperlink>
      <w:r>
        <w:rPr>
          <w:b w:val="0"/>
        </w:rPr>
        <w:t xml:space="preserve"> peut organiser les arbitrages entre équipes.</w:t>
      </w:r>
    </w:p>
    <w:p>
      <w:pPr>
        <w:pStyle w:val="Heading1"/>
      </w:pPr>
      <w:r>
        <w:t>Version et portée</w:t>
      </w:r>
    </w:p>
    <w:p>
      <w:pPr/>
      <w:r>
        <w:rPr>
          <w:b w:val="0"/>
        </w:rPr>
        <w:t>Khalid Kanouf · Version 1.1 · 7 septembre 2026. Matrice qualitative de cadrage, sans score prédictif ni valeur de certification. Les catégories ne correspondent pas aux catégories juridiques du règlement européen sur l’IA.</w:t>
      </w:r>
    </w:p>
    <w:p>
      <w:pPr/>
      <w:r>
        <w:rPr>
          <w:b w:val="0"/>
        </w:rPr>
        <w:t xml:space="preserve">La CNIL recommande de définir les usages, de former les utilisateurs et d’associer les responsables concernés au déploiement. </w:t>
      </w:r>
      <w:hyperlink r:id="rId14">
        <w:r>
          <w:rPr>
            <w:color w:val="9D1E35"/>
          </w:rPr>
          <w:t>Consulter ses recommandations sur le déploiement d’une IA générative</w:t>
        </w:r>
      </w:hyperlink>
      <w:r>
        <w:rPr>
          <w:b w:val="0"/>
        </w:rPr>
        <w:t>.</w:t>
      </w:r>
    </w:p>
    <w:p>
      <w:r>
        <w:br w:type="page"/>
      </w:r>
    </w:p>
    <w:p>
      <w:pPr>
        <w:pStyle w:val="Heading1"/>
      </w:pPr>
      <w:r>
        <w:t>Fiche de décision sur un usage</w:t>
      </w:r>
    </w:p>
    <w:p>
      <w:pPr>
        <w:spacing w:after="220"/>
      </w:pPr>
      <w:r>
        <w:rPr>
          <w:b/>
        </w:rPr>
        <w:t xml:space="preserve">Tâche et résultat attendu : </w:t>
      </w:r>
      <w:r>
        <w:t>[à compléter]</w:t>
      </w:r>
    </w:p>
    <w:p>
      <w:pPr>
        <w:spacing w:after="220"/>
      </w:pPr>
      <w:r>
        <w:rPr>
          <w:b/>
        </w:rPr>
        <w:t xml:space="preserve">Utilisateurs et destinataires : </w:t>
      </w:r>
      <w:r>
        <w:t>[à compléter]</w:t>
      </w:r>
    </w:p>
    <w:p>
      <w:pPr>
        <w:spacing w:after="220"/>
      </w:pPr>
      <w:r>
        <w:rPr>
          <w:b/>
        </w:rPr>
        <w:t xml:space="preserve">Outil et version : </w:t>
      </w:r>
      <w:r>
        <w:t>[à compléter]</w:t>
      </w:r>
    </w:p>
    <w:p>
      <w:pPr>
        <w:spacing w:after="220"/>
      </w:pPr>
      <w:r>
        <w:rPr>
          <w:b/>
        </w:rPr>
        <w:t xml:space="preserve">Données et conditions autorisées : </w:t>
      </w:r>
      <w:r>
        <w:t>[à compléter]</w:t>
      </w:r>
    </w:p>
    <w:p>
      <w:pPr>
        <w:spacing w:after="220"/>
      </w:pPr>
      <w:r>
        <w:rPr>
          <w:b/>
        </w:rPr>
        <w:t xml:space="preserve">Actions et permissions : </w:t>
      </w:r>
      <w:r>
        <w:t>[à compléter]</w:t>
      </w:r>
    </w:p>
    <w:p>
      <w:pPr>
        <w:spacing w:after="220"/>
      </w:pPr>
      <w:r>
        <w:rPr>
          <w:b/>
        </w:rPr>
        <w:t xml:space="preserve">Valideur et date de revue : </w:t>
      </w:r>
      <w:r>
        <w:t>[à compléter]</w:t>
      </w:r>
    </w:p>
    <w:p>
      <w:pPr>
        <w:spacing w:after="220"/>
      </w:pPr>
      <w:r>
        <w:rPr>
          <w:b/>
        </w:rPr>
        <w:t xml:space="preserve">Conséquences et scénario redouté : </w:t>
      </w:r>
      <w:r>
        <w:t>[à compléter]</w:t>
      </w:r>
    </w:p>
    <w:p>
      <w:pPr>
        <w:spacing w:after="220"/>
      </w:pPr>
      <w:r>
        <w:rPr>
          <w:b/>
        </w:rPr>
        <w:t xml:space="preserve">Maîtrise établie par les preuves : </w:t>
      </w:r>
      <w:r>
        <w:t>[à compléter]</w:t>
      </w:r>
    </w:p>
    <w:p>
      <w:pPr>
        <w:spacing w:after="220"/>
      </w:pPr>
      <w:r>
        <w:rPr>
          <w:b/>
        </w:rPr>
        <w:t xml:space="preserve">Mesures à mettre en place : </w:t>
      </w:r>
      <w:r>
        <w:t>[à compléter]</w:t>
      </w:r>
    </w:p>
    <w:p>
      <w:pPr>
        <w:spacing w:after="220"/>
      </w:pPr>
      <w:r>
        <w:rPr>
          <w:b/>
        </w:rPr>
        <w:t xml:space="preserve">Risque restant : </w:t>
      </w:r>
      <w:r>
        <w:t>[à compléter]</w:t>
      </w:r>
    </w:p>
    <w:p>
      <w:pPr>
        <w:spacing w:after="220"/>
      </w:pPr>
      <w:r>
        <w:rPr>
          <w:b/>
        </w:rPr>
        <w:t xml:space="preserve">Décision motivée et responsable : </w:t>
      </w:r>
      <w:r>
        <w:t>[à compléter]</w:t>
      </w:r>
    </w:p>
    <w:p>
      <w:pPr>
        <w:spacing w:after="220"/>
      </w:pPr>
      <w:r>
        <w:rPr>
          <w:b/>
        </w:rPr>
        <w:t xml:space="preserve">Date et conditions de réexamen : </w:t>
      </w:r>
      <w:r>
        <w:t>[à compléter]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Khalid Kanouf  |  Ressources IA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40"/>
    </w:pPr>
    <w:rPr>
      <w:rFonts w:ascii="Arial" w:hAnsi="Arial"/>
      <w:color w:val="30363C"/>
      <w:sz w:val="22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9" w:lineRule="auto" w:after="14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59" w:lineRule="auto" w:after="140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khalid-kanouf.com/ressources/matrice-risques-usages-ia/" TargetMode="External"/><Relationship Id="rId11" Type="http://schemas.openxmlformats.org/officeDocument/2006/relationships/hyperlink" Target="https://www.khalid-kanouf.com/ressources/charte-usage-ia-entreprise/" TargetMode="External"/><Relationship Id="rId12" Type="http://schemas.openxmlformats.org/officeDocument/2006/relationships/hyperlink" Target="https://www.khalid-kanouf.com/ressources/checklist-audit-ia-generative/" TargetMode="External"/><Relationship Id="rId13" Type="http://schemas.openxmlformats.org/officeDocument/2006/relationships/hyperlink" Target="https://www.khalid-kanouf.com/consultant-ia-design-cognitif/" TargetMode="External"/><Relationship Id="rId14" Type="http://schemas.openxmlformats.org/officeDocument/2006/relationships/hyperlink" Target="https://www.cnil.fr/fr/comment-deployer-une-ia-generative-la-cnil-apporte-de-premieres-precis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Matrice des risques et des usages IA</dc:title>
  <dc:subject>Une matrice de décision pour choisir les usages à expérimenter, ceux qui demandent un encadrement renforcé et ceux qui doivent être différés. L’analyse porte sur une situation précise : données, destinataires, conséquences et capacité de contrôle.</dc:subject>
  <dc:creator>Khalid Kanouf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