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KHALID KANOUF</w:t>
      </w:r>
    </w:p>
    <w:p>
      <w:pPr>
        <w:pStyle w:val="Title"/>
      </w:pPr>
      <w:r>
        <w:t>Modèle de charte des usages IA</w:t>
      </w:r>
    </w:p>
    <w:p>
      <w:pPr>
        <w:pStyle w:val="Subtitle"/>
      </w:pPr>
      <w:r>
        <w:t>Version 1.1 · Septembre 2026 · Document de travail modifiable</w:t>
      </w:r>
    </w:p>
    <w:p>
      <w:r>
        <w:t>Un modèle de charte pour rendre les usages de l’IA compréhensibles et applicables dans une équipe. Il précise les outils retenus, les données, les responsabilités, la qualité attendue et la conduite à tenir en cas de doute.</w:t>
      </w:r>
    </w:p>
    <w:p>
      <w:hyperlink r:id="rId10">
        <w:r>
          <w:rPr>
            <w:color w:val="9D1E35"/>
          </w:rPr>
          <w:t>Consulter la ressource et ses mises à jour</w:t>
        </w:r>
      </w:hyperlink>
    </w:p>
    <w:p>
      <w:pPr>
        <w:pStyle w:val="Heading1"/>
      </w:pPr>
      <w:r>
        <w:t>Préparer le modèle avant adoption</w:t>
      </w:r>
    </w:p>
    <w:p>
      <w:pPr/>
      <w:r>
        <w:rPr>
          <w:b w:val="0"/>
        </w:rPr>
        <w:t>Compléter tous les champs entre crochets, puis faire examiner le texte par les fonctions compétentes selon l’organisation : direction, métiers, informatique, sécurité, protection des données, RH ou juridique. Les clauses ci-dessous constituent une proposition de politique interne, à adapter aux usages et obligations applicables.</w:t>
      </w:r>
    </w:p>
    <w:p>
      <w:pPr/>
      <w:r>
        <w:rPr>
          <w:b w:val="0"/>
        </w:rPr>
        <w:t>Ce document Word contient le modèle et les champs modifiables. Il ne contient ni collecte automatique ni mécanisme de signature.</w:t>
      </w:r>
    </w:p>
    <w:p>
      <w:pPr>
        <w:pStyle w:val="Heading1"/>
      </w:pPr>
      <w:r>
        <w:t>1 Objet périmètre et responsabilité</w:t>
      </w:r>
    </w:p>
    <w:p>
      <w:pPr/>
      <w:r>
        <w:rPr>
          <w:b/>
        </w:rPr>
        <w:t>Texte proposé :</w:t>
      </w:r>
      <w:r>
        <w:rPr>
          <w:b w:val="0"/>
        </w:rPr>
        <w:t xml:space="preserve"> « La présente charte encadre les usages d’IA de [organisation] pour [équipes et activités]. Elle concerne [collaborateurs, intervenants et prestataires concernés]. Sa version est [version], sa date d’application [date] et son responsable [fonction et contact]. Les usages autorisés et leurs conditions figurent dans le registre [emplacement]. »</w:t>
      </w:r>
    </w:p>
    <w:p>
      <w:pPr>
        <w:pStyle w:val="Heading1"/>
      </w:pPr>
      <w:r>
        <w:t>2 Outils et usages retenus</w:t>
      </w:r>
    </w:p>
    <w:p>
      <w:pPr/>
      <w:r>
        <w:rPr>
          <w:b w:val="0"/>
        </w:rPr>
        <w:t>« Les outils utilisables sont [liste et environnements]. Chaque usage précise sa finalité, les données nécessaires, le public destinataire et le responsable de validation. Un nouvel outil, un connecteur ou une permission d’action fait l’objet d’une demande auprès de [contact]. L’autorisation d’un outil ne vaut pas autorisation de tous ses usages. »</w:t>
      </w:r>
    </w:p>
    <w:p>
      <w:pPr>
        <w:pStyle w:val="Heading1"/>
      </w:pPr>
      <w:r>
        <w:t>3 Données et documents</w:t>
      </w:r>
    </w:p>
    <w:p>
      <w:pPr/>
      <w:r>
        <w:rPr>
          <w:b w:val="0"/>
        </w:rPr>
        <w:t>« Avant tout envoi, l’utilisateur vérifie que les données sont autorisées dans l’environnement retenu. Les informations confidentielles, personnelles ou couvertes par des engagements spécifiques suivent les règles [référence interne]. En cas de doute, l’envoi est différé et [contact] est consulté. Seules les informations nécessaires à la tâche sont utilisées. »</w:t>
      </w:r>
    </w:p>
    <w:p>
      <w:pPr/>
      <w:r>
        <w:rPr>
          <w:b w:val="0"/>
        </w:rPr>
        <w:t>À préciser dans l’annexe : catégories de données, outils autorisés, restrictions, paramètres et responsable de leur vérification.</w:t>
      </w:r>
    </w:p>
    <w:p>
      <w:pPr>
        <w:pStyle w:val="Heading1"/>
      </w:pPr>
      <w:r>
        <w:t>4 Qualité et validation humaine</w:t>
      </w:r>
    </w:p>
    <w:p>
      <w:pPr/>
      <w:r>
        <w:rPr>
          <w:b w:val="0"/>
        </w:rPr>
        <w:t>« Une production IA reste une proposition de travail. Les faits, références, calculs et formulations engageant l’organisation sont vérifiés par [rôle]. Les livrables destinés à [clients, public, apprenants] suivent le circuit [circuit]. Une décision ayant des conséquences sur une personne ne peut être confiée à l’outil au seul motif qu’il fournit une réponse plausible. »</w:t>
      </w:r>
    </w:p>
    <w:p>
      <w:pPr>
        <w:pStyle w:val="Heading1"/>
      </w:pPr>
      <w:r>
        <w:t>5 Créativité pédagogie et droits</w:t>
      </w:r>
    </w:p>
    <w:p>
      <w:pPr/>
      <w:r>
        <w:rPr>
          <w:b w:val="0"/>
        </w:rPr>
        <w:t>« Les productions restent guidées par un brief, une intention et des critères métier. Les sources, éléments visuels, marques et documents utilisés font l’objet des vérifications appropriées avant exploitation. L’utilisateur ne présente pas comme une référence réelle un témoignage, une citation, un cas client ou un résultat inventé par l’outil. Les contenus pédagogiques sont vérifiés au regard des objectifs, du niveau des publics et des modalités d’évaluation. »</w:t>
      </w:r>
    </w:p>
    <w:p>
      <w:pPr>
        <w:pStyle w:val="Heading1"/>
      </w:pPr>
      <w:r>
        <w:t>6 Transparence et traçabilité</w:t>
      </w:r>
    </w:p>
    <w:p>
      <w:pPr/>
      <w:r>
        <w:rPr>
          <w:b w:val="0"/>
        </w:rPr>
        <w:t>« Les usages sont documentés à un niveau proportionné à leur enjeu : outil, date, sources autorisées, contrôles et valideur. L’information des destinataires suit [règles applicables et engagements contractuels]. La durée de conservation des traces et leurs accès sont fixés par [responsable]. Les traces ne doivent pas recréer une exposition inutile de données. »</w:t>
      </w:r>
    </w:p>
    <w:p>
      <w:pPr>
        <w:pStyle w:val="Heading1"/>
      </w:pPr>
      <w:r>
        <w:t>7 Compétences et accompagnement</w:t>
      </w:r>
    </w:p>
    <w:p>
      <w:pPr/>
      <w:r>
        <w:rPr>
          <w:b w:val="0"/>
        </w:rPr>
        <w:t>« Les personnes concernées bénéficient d’une préparation adaptée à leurs usages : limites des outils, cadrage des demandes, vérification et règles internes. Elles disposent de [ressources, référent, temps de pratique]. Les difficultés et besoins d’apprentissage sont recueillis lors de [modalité de suivi]. »</w:t>
      </w:r>
    </w:p>
    <w:p>
      <w:pPr>
        <w:pStyle w:val="Heading1"/>
      </w:pPr>
      <w:r>
        <w:t>8 Doute erreur ou incident</w:t>
      </w:r>
    </w:p>
    <w:p>
      <w:pPr/>
      <w:r>
        <w:rPr>
          <w:b w:val="0"/>
        </w:rPr>
        <w:t>« En cas d’erreur importante, d’exposition de données ou d’action inattendue, l’utilisateur interrompt l’usage concerné et contacte [canal et responsable]. Il transmet les éléments nécessaires par le canal prévu, sans diffuser davantage les données. La reprise est décidée par [rôle] après examen. »</w:t>
      </w:r>
    </w:p>
    <w:p>
      <w:pPr>
        <w:pStyle w:val="Heading1"/>
      </w:pPr>
      <w:r>
        <w:t>9 Révision et diffusion</w:t>
      </w:r>
    </w:p>
    <w:p>
      <w:pPr/>
      <w:r>
        <w:rPr>
          <w:b w:val="0"/>
        </w:rPr>
        <w:t>« La charte est expliquée aux équipes à partir de cas représentatifs. Elle est revue à [périodicité] et après tout changement significatif d’outil, de données ou de processus. La version de référence est disponible à [emplacement]. Les questions sont adressées à [contact]. »</w:t>
      </w:r>
    </w:p>
    <w:p>
      <w:pPr>
        <w:pStyle w:val="Heading1"/>
      </w:pPr>
      <w:r>
        <w:t>Annexe à compléter avant diffusion</w:t>
      </w:r>
    </w:p>
    <w:p>
      <w:pPr>
        <w:pStyle w:val="ListBullet"/>
      </w:pPr>
      <w:r>
        <w:rPr>
          <w:b w:val="0"/>
        </w:rPr>
        <w:t>Organisation, périmètre, version et date d’application.</w:t>
      </w:r>
    </w:p>
    <w:p>
      <w:pPr>
        <w:pStyle w:val="ListBullet"/>
      </w:pPr>
      <w:r>
        <w:rPr>
          <w:b w:val="0"/>
        </w:rPr>
        <w:t>Liste des outils, comptes professionnels et permissions.</w:t>
      </w:r>
    </w:p>
    <w:p>
      <w:pPr>
        <w:pStyle w:val="ListBullet"/>
      </w:pPr>
      <w:r>
        <w:rPr>
          <w:b w:val="0"/>
        </w:rPr>
        <w:t>Usages retenus, conditions et exclusions motivées.</w:t>
      </w:r>
    </w:p>
    <w:p>
      <w:pPr>
        <w:pStyle w:val="ListBullet"/>
      </w:pPr>
      <w:r>
        <w:rPr>
          <w:b w:val="0"/>
        </w:rPr>
        <w:t>Données autorisées par environnement.</w:t>
      </w:r>
    </w:p>
    <w:p>
      <w:pPr>
        <w:pStyle w:val="ListBullet"/>
      </w:pPr>
      <w:r>
        <w:rPr>
          <w:b w:val="0"/>
        </w:rPr>
        <w:t>Circuit de validation et interlocuteurs.</w:t>
      </w:r>
    </w:p>
    <w:p>
      <w:pPr>
        <w:pStyle w:val="ListBullet"/>
      </w:pPr>
      <w:r>
        <w:rPr>
          <w:b w:val="0"/>
        </w:rPr>
        <w:t>Information des destinataires et conservation des traces.</w:t>
      </w:r>
    </w:p>
    <w:p>
      <w:pPr>
        <w:pStyle w:val="ListBullet"/>
      </w:pPr>
      <w:r>
        <w:rPr>
          <w:b w:val="0"/>
        </w:rPr>
        <w:t>Canal de signalement, ressources de formation et prochaine revue.</w:t>
      </w:r>
    </w:p>
    <w:p>
      <w:pPr/>
      <w:r>
        <w:rPr>
          <w:b/>
        </w:rPr>
        <w:t>Exemple fictif :</w:t>
      </w:r>
      <w:r>
        <w:rPr>
          <w:b w:val="0"/>
        </w:rPr>
        <w:t xml:space="preserve"> « Préparer une trame de support à partir d’un corpus public autorisé ; relecture par le responsable pédagogique avant diffusion ; aucune donnée d’apprenant dans ce pilote. » Une annexe de ce type rend la règle applicable à une tâche.</w:t>
      </w:r>
    </w:p>
    <w:p>
      <w:pPr>
        <w:pStyle w:val="Heading1"/>
      </w:pPr>
      <w:r>
        <w:t>Faire vivre la charte</w:t>
      </w:r>
    </w:p>
    <w:p>
      <w:pPr/>
      <w:r>
        <w:rPr>
          <w:b w:val="0"/>
        </w:rPr>
        <w:t xml:space="preserve">Le </w:t>
      </w:r>
      <w:hyperlink r:id="rId11">
        <w:r>
          <w:rPr>
            <w:color w:val="9D1E35"/>
          </w:rPr>
          <w:t>guide de déploiement</w:t>
        </w:r>
      </w:hyperlink>
      <w:r>
        <w:rPr>
          <w:b w:val="0"/>
        </w:rPr>
        <w:t xml:space="preserve"> accompagne la présentation aux équipes. La </w:t>
      </w:r>
      <w:hyperlink r:id="rId12">
        <w:r>
          <w:rPr>
            <w:color w:val="9D1E35"/>
          </w:rPr>
          <w:t>matrice</w:t>
        </w:r>
      </w:hyperlink>
      <w:r>
        <w:rPr>
          <w:b w:val="0"/>
        </w:rPr>
        <w:t xml:space="preserve"> aide à documenter les conditions des usages ; la </w:t>
      </w:r>
      <w:hyperlink r:id="rId13">
        <w:r>
          <w:rPr>
            <w:color w:val="9D1E35"/>
          </w:rPr>
          <w:t>checklist</w:t>
        </w:r>
      </w:hyperlink>
      <w:r>
        <w:rPr>
          <w:b w:val="0"/>
        </w:rPr>
        <w:t xml:space="preserve"> permet de vérifier les prérequis d’un pilote.</w:t>
      </w:r>
    </w:p>
    <w:p>
      <w:pPr>
        <w:pStyle w:val="Heading1"/>
      </w:pPr>
      <w:r>
        <w:t>Version sources et portée</w:t>
      </w:r>
    </w:p>
    <w:p>
      <w:pPr/>
      <w:r>
        <w:rPr>
          <w:b w:val="0"/>
        </w:rPr>
        <w:t>Khalid Kanouf · Version 1.1 · 7 septembre 2026. Modèle pédagogique et organisationnel à adapter. Il ne constitue pas une garantie de conformité et ne couvre pas toutes les situations sectorielles.</w:t>
      </w:r>
    </w:p>
    <w:p>
      <w:pPr/>
      <w:r>
        <w:rPr>
          <w:b w:val="0"/>
        </w:rPr>
        <w:t xml:space="preserve">La CNIL recommande de définir les usages, de former les utilisateurs et d’associer les responsables concernés au déploiement. </w:t>
      </w:r>
      <w:hyperlink r:id="rId14">
        <w:r>
          <w:rPr>
            <w:color w:val="9D1E35"/>
          </w:rPr>
          <w:t>Consulter ses recommandations sur le déploiement d’une IA générative</w:t>
        </w:r>
      </w:hyperlink>
      <w:r>
        <w:rPr>
          <w:b w:val="0"/>
        </w:rPr>
        <w:t>.</w:t>
      </w:r>
    </w:p>
    <w:p>
      <w:pPr>
        <w:pStyle w:val="Heading1"/>
      </w:pPr>
      <w:r>
        <w:t>Annexe opérationnelle à compléter</w:t>
      </w:r>
    </w:p>
    <w:p>
      <w:pPr>
        <w:spacing w:after="220"/>
      </w:pPr>
      <w:r>
        <w:rPr>
          <w:b/>
        </w:rPr>
        <w:t xml:space="preserve">Organisation et périmètre : </w:t>
      </w:r>
      <w:r>
        <w:t>[à compléter]</w:t>
      </w:r>
    </w:p>
    <w:p>
      <w:pPr>
        <w:spacing w:after="220"/>
      </w:pPr>
      <w:r>
        <w:rPr>
          <w:b/>
        </w:rPr>
        <w:t xml:space="preserve">Version et date d’application : </w:t>
      </w:r>
      <w:r>
        <w:t>[à compléter]</w:t>
      </w:r>
    </w:p>
    <w:p>
      <w:pPr>
        <w:spacing w:after="220"/>
      </w:pPr>
      <w:r>
        <w:rPr>
          <w:b/>
        </w:rPr>
        <w:t xml:space="preserve">Outils et comptes autorisés : </w:t>
      </w:r>
      <w:r>
        <w:t>[à compléter]</w:t>
      </w:r>
    </w:p>
    <w:p>
      <w:pPr>
        <w:spacing w:after="220"/>
      </w:pPr>
      <w:r>
        <w:rPr>
          <w:b/>
        </w:rPr>
        <w:t xml:space="preserve">Usages retenus et exclusions : </w:t>
      </w:r>
      <w:r>
        <w:t>[à compléter]</w:t>
      </w:r>
    </w:p>
    <w:p>
      <w:pPr>
        <w:spacing w:after="220"/>
      </w:pPr>
      <w:r>
        <w:rPr>
          <w:b/>
        </w:rPr>
        <w:t xml:space="preserve">Données autorisées par environnement : </w:t>
      </w:r>
      <w:r>
        <w:t>[à compléter]</w:t>
      </w:r>
    </w:p>
    <w:p>
      <w:pPr>
        <w:spacing w:after="220"/>
      </w:pPr>
      <w:r>
        <w:rPr>
          <w:b/>
        </w:rPr>
        <w:t xml:space="preserve">Permissions et paramètres examinés : </w:t>
      </w:r>
      <w:r>
        <w:t>[à compléter]</w:t>
      </w:r>
    </w:p>
    <w:p>
      <w:pPr>
        <w:spacing w:after="220"/>
      </w:pPr>
      <w:r>
        <w:rPr>
          <w:b/>
        </w:rPr>
        <w:t xml:space="preserve">Circuit de validation et contacts : </w:t>
      </w:r>
      <w:r>
        <w:t>[à compléter]</w:t>
      </w:r>
    </w:p>
    <w:p>
      <w:pPr>
        <w:spacing w:after="220"/>
      </w:pPr>
      <w:r>
        <w:rPr>
          <w:b/>
        </w:rPr>
        <w:t xml:space="preserve">Information des destinataires : </w:t>
      </w:r>
      <w:r>
        <w:t>[à compléter]</w:t>
      </w:r>
    </w:p>
    <w:p>
      <w:pPr>
        <w:spacing w:after="220"/>
      </w:pPr>
      <w:r>
        <w:rPr>
          <w:b/>
        </w:rPr>
        <w:t xml:space="preserve">Conservation des traces et accès : </w:t>
      </w:r>
      <w:r>
        <w:t>[à compléter]</w:t>
      </w:r>
    </w:p>
    <w:p>
      <w:pPr>
        <w:spacing w:after="220"/>
      </w:pPr>
      <w:r>
        <w:rPr>
          <w:b/>
        </w:rPr>
        <w:t xml:space="preserve">Canal de signalement : </w:t>
      </w:r>
      <w:r>
        <w:t>[à compléter]</w:t>
      </w:r>
    </w:p>
    <w:p>
      <w:pPr>
        <w:spacing w:after="220"/>
      </w:pPr>
      <w:r>
        <w:rPr>
          <w:b/>
        </w:rPr>
        <w:t xml:space="preserve">Ressources de formation et référent : </w:t>
      </w:r>
      <w:r>
        <w:t>[à compléter]</w:t>
      </w:r>
    </w:p>
    <w:p>
      <w:pPr>
        <w:spacing w:after="220"/>
      </w:pPr>
      <w:r>
        <w:rPr>
          <w:b/>
        </w:rPr>
        <w:t xml:space="preserve">Prochaine revue : </w:t>
      </w:r>
      <w:r>
        <w:t>[à compléter]</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Khalid Kanouf  |  Ressources IA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Arial" w:hAnsi="Arial"/>
      <w:color w:val="30363C"/>
      <w:sz w:val="22"/>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40" w:line="25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Arial" w:hAnsi="Arial"/>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140"/>
    </w:pPr>
    <w:rPr>
      <w:rFonts w:asciiTheme="majorHAnsi" w:eastAsiaTheme="majorEastAsia" w:hAnsiTheme="majorHAnsi" w:cstheme="majorBidi" w:ascii="Arial" w:hAnsi="Arial"/>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9" w:lineRule="auto" w:after="14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khalid-kanouf.com/ressources/charte-usage-ia-entreprise/" TargetMode="External"/><Relationship Id="rId11" Type="http://schemas.openxmlformats.org/officeDocument/2006/relationships/hyperlink" Target="https://www.khalid-kanouf.com/ressources/guide-deployer-charte-ia-entreprise/" TargetMode="External"/><Relationship Id="rId12" Type="http://schemas.openxmlformats.org/officeDocument/2006/relationships/hyperlink" Target="https://www.khalid-kanouf.com/ressources/matrice-risques-usages-ia/" TargetMode="External"/><Relationship Id="rId13" Type="http://schemas.openxmlformats.org/officeDocument/2006/relationships/hyperlink" Target="https://www.khalid-kanouf.com/ressources/checklist-audit-ia-generative/" TargetMode="External"/><Relationship Id="rId14" Type="http://schemas.openxmlformats.org/officeDocument/2006/relationships/hyperlink" Target="https://www.cnil.fr/fr/comment-deployer-une-ia-generative-la-cnil-apporte-de-premieres-preci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charte des usages IA</dc:title>
  <dc:subject>Un modèle de charte pour rendre les usages de l’IA compréhensibles et applicables dans une équipe. Il précise les outils retenus, les données, les responsabilités, la qualité attendue et la conduite à tenir en cas de doute.</dc:subject>
  <dc:creator>Khalid Kanouf</dc:creator>
  <cp:keywords/>
  <dc:description>generated by python-docx</dc:description>
  <cp:lastModifiedBy/>
  <cp:revision>1</cp:revision>
  <dcterms:created xsi:type="dcterms:W3CDTF">2013-12-23T23:15:00Z</dcterms:created>
  <dcterms:modified xsi:type="dcterms:W3CDTF">2013-12-23T23:15:00Z</dcterms:modified>
  <cp:category/>
</cp:coreProperties>
</file>